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92CA" w14:textId="77777777" w:rsidR="00042099" w:rsidRDefault="00042099">
      <w:pPr>
        <w:pStyle w:val="Heading1"/>
        <w:rPr>
          <w:rFonts w:eastAsia="Times New Roman"/>
          <w:kern w:val="36"/>
          <w:sz w:val="48"/>
          <w:szCs w:val="48"/>
          <w14:ligatures w14:val="none"/>
        </w:rPr>
      </w:pPr>
      <w:r>
        <w:rPr>
          <w:rFonts w:eastAsia="Times New Roman"/>
        </w:rPr>
        <w:t>ATG Whitepaper</w:t>
      </w:r>
    </w:p>
    <w:p w14:paraId="5D312FAA" w14:textId="77777777" w:rsidR="00042099" w:rsidRDefault="00042099">
      <w:pPr>
        <w:pStyle w:val="Heading2"/>
        <w:rPr>
          <w:rFonts w:eastAsia="Times New Roman"/>
        </w:rPr>
      </w:pPr>
      <w:r>
        <w:rPr>
          <w:rStyle w:val="Strong"/>
          <w:rFonts w:eastAsia="Times New Roman"/>
          <w:b w:val="0"/>
          <w:bCs w:val="0"/>
        </w:rPr>
        <w:t>The Broken Backbone</w:t>
      </w:r>
    </w:p>
    <w:p w14:paraId="42FE7642" w14:textId="77777777" w:rsidR="00042099" w:rsidRDefault="00042099">
      <w:pPr>
        <w:pStyle w:val="Heading3"/>
        <w:rPr>
          <w:rFonts w:eastAsia="Times New Roman"/>
        </w:rPr>
      </w:pPr>
      <w:r>
        <w:rPr>
          <w:rFonts w:eastAsia="Times New Roman"/>
        </w:rPr>
        <w:t>A Public-Interest Indictment of Telecom Contracting Failure — and the Case for the American Telecommunications Guild</w:t>
      </w:r>
    </w:p>
    <w:p w14:paraId="370B923A" w14:textId="77777777" w:rsidR="00042099" w:rsidRDefault="00042099">
      <w:pPr>
        <w:pStyle w:val="NormalWeb"/>
      </w:pPr>
      <w:r>
        <w:rPr>
          <w:rStyle w:val="Emphasis"/>
        </w:rPr>
        <w:t>(Layer 4 — Whitepaper / Indictment. Purpose: explain what’s broken and why ATG must exist. This document intentionally avoids restating the Charter/Bylaws/Manuals; it focuses on diagnosis, incentives, and consequences.)</w:t>
      </w:r>
    </w:p>
    <w:p w14:paraId="51F58327" w14:textId="77777777" w:rsidR="00042099" w:rsidRDefault="00042099">
      <w:pPr>
        <w:rPr>
          <w:rFonts w:eastAsia="Times New Roman"/>
        </w:rPr>
      </w:pPr>
      <w:r>
        <w:rPr>
          <w:rFonts w:eastAsia="Times New Roman"/>
          <w:noProof/>
        </w:rPr>
        <mc:AlternateContent>
          <mc:Choice Requires="wps">
            <w:drawing>
              <wp:inline distT="0" distB="0" distL="0" distR="0" wp14:anchorId="7CBDE284" wp14:editId="1BA7CC0E">
                <wp:extent cx="5943600" cy="1270"/>
                <wp:effectExtent l="0" t="31750" r="0" b="36830"/>
                <wp:docPr id="6759236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85B13E"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52B53EF7" w14:textId="77777777" w:rsidR="00042099" w:rsidRDefault="00042099">
      <w:pPr>
        <w:pStyle w:val="Heading2"/>
        <w:rPr>
          <w:rFonts w:eastAsia="Times New Roman"/>
        </w:rPr>
      </w:pPr>
      <w:r>
        <w:rPr>
          <w:rFonts w:eastAsia="Times New Roman"/>
        </w:rPr>
        <w:t>0. Executive Summary</w:t>
      </w:r>
    </w:p>
    <w:p w14:paraId="0E3D74BB" w14:textId="77777777" w:rsidR="00042099" w:rsidRDefault="00042099">
      <w:pPr>
        <w:pStyle w:val="NormalWeb"/>
      </w:pPr>
      <w:r>
        <w:t>America is investing historic sums into broadband and communications infrastructure. Yet the labor and contracting systems that execute this work remain structurally misaligned with safety, competence, and accountability.</w:t>
      </w:r>
    </w:p>
    <w:p w14:paraId="66B3EC18" w14:textId="77777777" w:rsidR="00042099" w:rsidRDefault="00042099">
      <w:pPr>
        <w:pStyle w:val="NormalWeb"/>
      </w:pPr>
      <w:r>
        <w:t>The industry’s dominant delivery model—multi-layer subcontracting governed by schedule pressure and lowest-cost procurement—routinely produces:</w:t>
      </w:r>
    </w:p>
    <w:p w14:paraId="1F753D79" w14:textId="77777777" w:rsidR="00042099" w:rsidRDefault="00042099" w:rsidP="00042099">
      <w:pPr>
        <w:numPr>
          <w:ilvl w:val="0"/>
          <w:numId w:val="1"/>
        </w:numPr>
        <w:spacing w:before="100" w:beforeAutospacing="1" w:after="100" w:afterAutospacing="1" w:line="240" w:lineRule="auto"/>
        <w:rPr>
          <w:rFonts w:eastAsia="Times New Roman"/>
        </w:rPr>
      </w:pPr>
      <w:r>
        <w:rPr>
          <w:rFonts w:eastAsia="Times New Roman"/>
        </w:rPr>
        <w:t>hidden wage theft and misclassification risk,</w:t>
      </w:r>
    </w:p>
    <w:p w14:paraId="6FC3FBE2" w14:textId="77777777" w:rsidR="00042099" w:rsidRDefault="00042099" w:rsidP="00042099">
      <w:pPr>
        <w:numPr>
          <w:ilvl w:val="0"/>
          <w:numId w:val="1"/>
        </w:numPr>
        <w:spacing w:before="100" w:beforeAutospacing="1" w:after="100" w:afterAutospacing="1" w:line="240" w:lineRule="auto"/>
        <w:rPr>
          <w:rFonts w:eastAsia="Times New Roman"/>
        </w:rPr>
      </w:pPr>
      <w:r>
        <w:rPr>
          <w:rFonts w:eastAsia="Times New Roman"/>
        </w:rPr>
        <w:t>credential opacity and variable skill quality,</w:t>
      </w:r>
    </w:p>
    <w:p w14:paraId="4CA2FE65" w14:textId="77777777" w:rsidR="00042099" w:rsidRDefault="00042099" w:rsidP="00042099">
      <w:pPr>
        <w:numPr>
          <w:ilvl w:val="0"/>
          <w:numId w:val="1"/>
        </w:numPr>
        <w:spacing w:before="100" w:beforeAutospacing="1" w:after="100" w:afterAutospacing="1" w:line="240" w:lineRule="auto"/>
        <w:rPr>
          <w:rFonts w:eastAsia="Times New Roman"/>
        </w:rPr>
      </w:pPr>
      <w:r>
        <w:rPr>
          <w:rFonts w:eastAsia="Times New Roman"/>
        </w:rPr>
        <w:t>safety degradation and preventable incidents,</w:t>
      </w:r>
    </w:p>
    <w:p w14:paraId="240634BF" w14:textId="77777777" w:rsidR="00042099" w:rsidRDefault="00042099" w:rsidP="00042099">
      <w:pPr>
        <w:numPr>
          <w:ilvl w:val="0"/>
          <w:numId w:val="1"/>
        </w:numPr>
        <w:spacing w:before="100" w:beforeAutospacing="1" w:after="100" w:afterAutospacing="1" w:line="240" w:lineRule="auto"/>
        <w:rPr>
          <w:rFonts w:eastAsia="Times New Roman"/>
        </w:rPr>
      </w:pPr>
      <w:r>
        <w:rPr>
          <w:rFonts w:eastAsia="Times New Roman"/>
        </w:rPr>
        <w:t>phantom productivity and change-order bloat,</w:t>
      </w:r>
    </w:p>
    <w:p w14:paraId="1D2244E0" w14:textId="77777777" w:rsidR="00042099" w:rsidRDefault="00042099" w:rsidP="00042099">
      <w:pPr>
        <w:numPr>
          <w:ilvl w:val="0"/>
          <w:numId w:val="1"/>
        </w:numPr>
        <w:spacing w:before="100" w:beforeAutospacing="1" w:after="100" w:afterAutospacing="1" w:line="240" w:lineRule="auto"/>
        <w:rPr>
          <w:rFonts w:eastAsia="Times New Roman"/>
        </w:rPr>
      </w:pPr>
      <w:r>
        <w:rPr>
          <w:rFonts w:eastAsia="Times New Roman"/>
        </w:rPr>
        <w:t>and a persistent inability to trace accountability when work fails.</w:t>
      </w:r>
    </w:p>
    <w:p w14:paraId="46B915C6" w14:textId="77777777" w:rsidR="00042099" w:rsidRDefault="00042099">
      <w:pPr>
        <w:pStyle w:val="NormalWeb"/>
      </w:pPr>
      <w:r>
        <w:t xml:space="preserve">This is not primarily a “bad actor” problem. It is an </w:t>
      </w:r>
      <w:r>
        <w:rPr>
          <w:rStyle w:val="Strong"/>
        </w:rPr>
        <w:t>incentive design</w:t>
      </w:r>
      <w:r>
        <w:t xml:space="preserve"> problem: a system where the people closest to the risk (workers) have the least power, while the entities farthest from the risk capture the most margin and control the narrative through contractual distance.</w:t>
      </w:r>
    </w:p>
    <w:p w14:paraId="458522F3" w14:textId="77777777" w:rsidR="00042099" w:rsidRDefault="00042099">
      <w:pPr>
        <w:pStyle w:val="NormalWeb"/>
      </w:pPr>
      <w:r>
        <w:t>The American Telecommunications Guild (ATG) exists because the current system lacks a credible, scalable mechanism to validate workforce competency, enforce field safety standards, and provide auditable traceability across contracting tiers—especially when public funding is involved.</w:t>
      </w:r>
    </w:p>
    <w:p w14:paraId="1F9A8BD6" w14:textId="77777777" w:rsidR="00042099" w:rsidRDefault="00042099">
      <w:pPr>
        <w:rPr>
          <w:rFonts w:eastAsia="Times New Roman"/>
        </w:rPr>
      </w:pPr>
      <w:r>
        <w:rPr>
          <w:rFonts w:eastAsia="Times New Roman"/>
          <w:noProof/>
        </w:rPr>
        <mc:AlternateContent>
          <mc:Choice Requires="wps">
            <w:drawing>
              <wp:inline distT="0" distB="0" distL="0" distR="0" wp14:anchorId="0F4BF05C" wp14:editId="6F50A088">
                <wp:extent cx="5943600" cy="1270"/>
                <wp:effectExtent l="0" t="31750" r="0" b="36830"/>
                <wp:docPr id="472928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5365D7"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6F35621" w14:textId="77777777" w:rsidR="00042099" w:rsidRDefault="00042099">
      <w:pPr>
        <w:pStyle w:val="Heading2"/>
        <w:rPr>
          <w:rFonts w:eastAsia="Times New Roman"/>
        </w:rPr>
      </w:pPr>
      <w:r>
        <w:rPr>
          <w:rFonts w:eastAsia="Times New Roman"/>
        </w:rPr>
        <w:t>1. The Infrastructure Paradox</w:t>
      </w:r>
    </w:p>
    <w:p w14:paraId="403BEB1B" w14:textId="77777777" w:rsidR="00042099" w:rsidRDefault="00042099">
      <w:pPr>
        <w:pStyle w:val="NormalWeb"/>
      </w:pPr>
      <w:r>
        <w:t>Telecommunications infrastructure is both:</w:t>
      </w:r>
    </w:p>
    <w:p w14:paraId="55B750B6" w14:textId="77777777" w:rsidR="00042099" w:rsidRDefault="00042099" w:rsidP="00042099">
      <w:pPr>
        <w:numPr>
          <w:ilvl w:val="0"/>
          <w:numId w:val="2"/>
        </w:numPr>
        <w:spacing w:before="100" w:beforeAutospacing="1" w:after="100" w:afterAutospacing="1" w:line="240" w:lineRule="auto"/>
        <w:rPr>
          <w:rFonts w:eastAsia="Times New Roman"/>
        </w:rPr>
      </w:pPr>
      <w:r>
        <w:rPr>
          <w:rStyle w:val="Strong"/>
          <w:rFonts w:eastAsia="Times New Roman"/>
        </w:rPr>
        <w:lastRenderedPageBreak/>
        <w:t>mission-critical</w:t>
      </w:r>
      <w:r>
        <w:rPr>
          <w:rFonts w:eastAsia="Times New Roman"/>
        </w:rPr>
        <w:t xml:space="preserve"> (public safety, economy, defense, healthcare, education), and</w:t>
      </w:r>
    </w:p>
    <w:p w14:paraId="74A03127" w14:textId="77777777" w:rsidR="00042099" w:rsidRDefault="00042099" w:rsidP="00042099">
      <w:pPr>
        <w:numPr>
          <w:ilvl w:val="0"/>
          <w:numId w:val="2"/>
        </w:numPr>
        <w:spacing w:before="100" w:beforeAutospacing="1" w:after="100" w:afterAutospacing="1" w:line="240" w:lineRule="auto"/>
        <w:rPr>
          <w:rFonts w:eastAsia="Times New Roman"/>
        </w:rPr>
      </w:pPr>
      <w:r>
        <w:rPr>
          <w:rStyle w:val="Strong"/>
          <w:rFonts w:eastAsia="Times New Roman"/>
        </w:rPr>
        <w:t>delivered like a commodity</w:t>
      </w:r>
      <w:r>
        <w:rPr>
          <w:rFonts w:eastAsia="Times New Roman"/>
        </w:rPr>
        <w:t xml:space="preserve"> (procured through cost compression and schedule acceleration).</w:t>
      </w:r>
    </w:p>
    <w:p w14:paraId="408A999B" w14:textId="77777777" w:rsidR="00042099" w:rsidRDefault="00042099">
      <w:pPr>
        <w:pStyle w:val="NormalWeb"/>
      </w:pPr>
      <w:r>
        <w:t>This mismatch is the seed of the crisis.</w:t>
      </w:r>
    </w:p>
    <w:p w14:paraId="2033B37D" w14:textId="77777777" w:rsidR="00042099" w:rsidRDefault="00042099">
      <w:pPr>
        <w:pStyle w:val="NormalWeb"/>
      </w:pPr>
      <w:r>
        <w:t>In high-risk industries, quality and safety are typically protected by at least one of the following:</w:t>
      </w:r>
    </w:p>
    <w:p w14:paraId="7A7996A0" w14:textId="77777777" w:rsidR="00042099" w:rsidRDefault="00042099" w:rsidP="00042099">
      <w:pPr>
        <w:numPr>
          <w:ilvl w:val="0"/>
          <w:numId w:val="3"/>
        </w:numPr>
        <w:spacing w:before="100" w:beforeAutospacing="1" w:after="100" w:afterAutospacing="1" w:line="240" w:lineRule="auto"/>
        <w:rPr>
          <w:rFonts w:eastAsia="Times New Roman"/>
        </w:rPr>
      </w:pPr>
      <w:r>
        <w:rPr>
          <w:rFonts w:eastAsia="Times New Roman"/>
        </w:rPr>
        <w:t>professional licensing regimes,</w:t>
      </w:r>
    </w:p>
    <w:p w14:paraId="25947EA0" w14:textId="77777777" w:rsidR="00042099" w:rsidRDefault="00042099" w:rsidP="00042099">
      <w:pPr>
        <w:numPr>
          <w:ilvl w:val="0"/>
          <w:numId w:val="3"/>
        </w:numPr>
        <w:spacing w:before="100" w:beforeAutospacing="1" w:after="100" w:afterAutospacing="1" w:line="240" w:lineRule="auto"/>
        <w:rPr>
          <w:rFonts w:eastAsia="Times New Roman"/>
        </w:rPr>
      </w:pPr>
      <w:r>
        <w:rPr>
          <w:rFonts w:eastAsia="Times New Roman"/>
        </w:rPr>
        <w:t>enforceable trade credentialing,</w:t>
      </w:r>
    </w:p>
    <w:p w14:paraId="4CCA7566" w14:textId="77777777" w:rsidR="00042099" w:rsidRDefault="00042099" w:rsidP="00042099">
      <w:pPr>
        <w:numPr>
          <w:ilvl w:val="0"/>
          <w:numId w:val="3"/>
        </w:numPr>
        <w:spacing w:before="100" w:beforeAutospacing="1" w:after="100" w:afterAutospacing="1" w:line="240" w:lineRule="auto"/>
        <w:rPr>
          <w:rFonts w:eastAsia="Times New Roman"/>
        </w:rPr>
      </w:pPr>
      <w:r>
        <w:rPr>
          <w:rFonts w:eastAsia="Times New Roman"/>
        </w:rPr>
        <w:t>strong procurement standards,</w:t>
      </w:r>
    </w:p>
    <w:p w14:paraId="0E06A984" w14:textId="77777777" w:rsidR="00042099" w:rsidRDefault="00042099" w:rsidP="00042099">
      <w:pPr>
        <w:numPr>
          <w:ilvl w:val="0"/>
          <w:numId w:val="3"/>
        </w:numPr>
        <w:spacing w:before="100" w:beforeAutospacing="1" w:after="100" w:afterAutospacing="1" w:line="240" w:lineRule="auto"/>
        <w:rPr>
          <w:rFonts w:eastAsia="Times New Roman"/>
        </w:rPr>
      </w:pPr>
      <w:r>
        <w:rPr>
          <w:rFonts w:eastAsia="Times New Roman"/>
        </w:rPr>
        <w:t>or integrated prime accountability.</w:t>
      </w:r>
    </w:p>
    <w:p w14:paraId="30A1F02A" w14:textId="77777777" w:rsidR="00042099" w:rsidRDefault="00042099">
      <w:pPr>
        <w:pStyle w:val="NormalWeb"/>
      </w:pPr>
      <w:r>
        <w:t>Telecom construction often has none of these consistently. Instead, work is routed through layered contracting structures where accountability is diluted at each handoff.</w:t>
      </w:r>
    </w:p>
    <w:p w14:paraId="4F875279" w14:textId="77777777" w:rsidR="00042099" w:rsidRDefault="00042099">
      <w:pPr>
        <w:rPr>
          <w:rFonts w:eastAsia="Times New Roman"/>
        </w:rPr>
      </w:pPr>
      <w:r>
        <w:rPr>
          <w:rFonts w:eastAsia="Times New Roman"/>
          <w:noProof/>
        </w:rPr>
        <mc:AlternateContent>
          <mc:Choice Requires="wps">
            <w:drawing>
              <wp:inline distT="0" distB="0" distL="0" distR="0" wp14:anchorId="032B7A92" wp14:editId="3609DB94">
                <wp:extent cx="5943600" cy="1270"/>
                <wp:effectExtent l="0" t="31750" r="0" b="36830"/>
                <wp:docPr id="20712212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D5BC3F"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573D648" w14:textId="77777777" w:rsidR="00042099" w:rsidRDefault="00042099">
      <w:pPr>
        <w:pStyle w:val="Heading2"/>
        <w:rPr>
          <w:rFonts w:eastAsia="Times New Roman"/>
        </w:rPr>
      </w:pPr>
      <w:r>
        <w:rPr>
          <w:rFonts w:eastAsia="Times New Roman"/>
        </w:rPr>
        <w:t>2. The Contracting Stack That Breaks Accountability</w:t>
      </w:r>
    </w:p>
    <w:p w14:paraId="17F05855" w14:textId="77777777" w:rsidR="00042099" w:rsidRDefault="00042099">
      <w:pPr>
        <w:pStyle w:val="NormalWeb"/>
      </w:pPr>
      <w:r>
        <w:t>The “turf vendor” model and its derivatives did not appear by accident. It is an emergent response to carrier scale, geographic diversity, and constant upgrade cycles.</w:t>
      </w:r>
    </w:p>
    <w:p w14:paraId="7A7975FD" w14:textId="77777777" w:rsidR="00042099" w:rsidRDefault="00042099">
      <w:pPr>
        <w:pStyle w:val="NormalWeb"/>
      </w:pPr>
      <w:r>
        <w:t>But over time it has evolved into a system with three recurring features:</w:t>
      </w:r>
    </w:p>
    <w:p w14:paraId="20B06532" w14:textId="77777777" w:rsidR="00042099" w:rsidRDefault="00042099">
      <w:pPr>
        <w:pStyle w:val="Heading3"/>
        <w:rPr>
          <w:rFonts w:eastAsia="Times New Roman"/>
        </w:rPr>
      </w:pPr>
      <w:r>
        <w:rPr>
          <w:rFonts w:eastAsia="Times New Roman"/>
        </w:rPr>
        <w:t>2.1 Distance as a business model</w:t>
      </w:r>
    </w:p>
    <w:p w14:paraId="2A26F36D" w14:textId="77777777" w:rsidR="00042099" w:rsidRDefault="00042099">
      <w:pPr>
        <w:pStyle w:val="NormalWeb"/>
      </w:pPr>
      <w:r>
        <w:t>Each contractual layer reduces visibility into:</w:t>
      </w:r>
    </w:p>
    <w:p w14:paraId="33556248" w14:textId="77777777" w:rsidR="00042099" w:rsidRDefault="00042099" w:rsidP="00042099">
      <w:pPr>
        <w:numPr>
          <w:ilvl w:val="0"/>
          <w:numId w:val="4"/>
        </w:numPr>
        <w:spacing w:before="100" w:beforeAutospacing="1" w:after="100" w:afterAutospacing="1" w:line="240" w:lineRule="auto"/>
        <w:rPr>
          <w:rFonts w:eastAsia="Times New Roman"/>
        </w:rPr>
      </w:pPr>
      <w:r>
        <w:rPr>
          <w:rFonts w:eastAsia="Times New Roman"/>
        </w:rPr>
        <w:t>who is actually performing work,</w:t>
      </w:r>
    </w:p>
    <w:p w14:paraId="6DA83B25" w14:textId="77777777" w:rsidR="00042099" w:rsidRDefault="00042099" w:rsidP="00042099">
      <w:pPr>
        <w:numPr>
          <w:ilvl w:val="0"/>
          <w:numId w:val="4"/>
        </w:numPr>
        <w:spacing w:before="100" w:beforeAutospacing="1" w:after="100" w:afterAutospacing="1" w:line="240" w:lineRule="auto"/>
        <w:rPr>
          <w:rFonts w:eastAsia="Times New Roman"/>
        </w:rPr>
      </w:pPr>
      <w:r>
        <w:rPr>
          <w:rFonts w:eastAsia="Times New Roman"/>
        </w:rPr>
        <w:t>whether they are properly trained,</w:t>
      </w:r>
    </w:p>
    <w:p w14:paraId="69F1F639" w14:textId="77777777" w:rsidR="00042099" w:rsidRDefault="00042099" w:rsidP="00042099">
      <w:pPr>
        <w:numPr>
          <w:ilvl w:val="0"/>
          <w:numId w:val="4"/>
        </w:numPr>
        <w:spacing w:before="100" w:beforeAutospacing="1" w:after="100" w:afterAutospacing="1" w:line="240" w:lineRule="auto"/>
        <w:rPr>
          <w:rFonts w:eastAsia="Times New Roman"/>
        </w:rPr>
      </w:pPr>
      <w:r>
        <w:rPr>
          <w:rFonts w:eastAsia="Times New Roman"/>
        </w:rPr>
        <w:t>how they are paid,</w:t>
      </w:r>
    </w:p>
    <w:p w14:paraId="027FC53F" w14:textId="77777777" w:rsidR="00042099" w:rsidRDefault="00042099" w:rsidP="00042099">
      <w:pPr>
        <w:numPr>
          <w:ilvl w:val="0"/>
          <w:numId w:val="4"/>
        </w:numPr>
        <w:spacing w:before="100" w:beforeAutospacing="1" w:after="100" w:afterAutospacing="1" w:line="240" w:lineRule="auto"/>
        <w:rPr>
          <w:rFonts w:eastAsia="Times New Roman"/>
        </w:rPr>
      </w:pPr>
      <w:r>
        <w:rPr>
          <w:rFonts w:eastAsia="Times New Roman"/>
        </w:rPr>
        <w:t>and what safety conditions exist at the workface.</w:t>
      </w:r>
    </w:p>
    <w:p w14:paraId="7ABEC1DF" w14:textId="77777777" w:rsidR="00042099" w:rsidRDefault="00042099">
      <w:pPr>
        <w:pStyle w:val="NormalWeb"/>
      </w:pPr>
      <w:r>
        <w:t>Distance becomes the product: risk is pushed downward; margin is pulled upward.</w:t>
      </w:r>
    </w:p>
    <w:p w14:paraId="03208CDE" w14:textId="77777777" w:rsidR="00042099" w:rsidRDefault="00042099">
      <w:pPr>
        <w:pStyle w:val="Heading3"/>
        <w:rPr>
          <w:rFonts w:eastAsia="Times New Roman"/>
        </w:rPr>
      </w:pPr>
      <w:r>
        <w:rPr>
          <w:rFonts w:eastAsia="Times New Roman"/>
        </w:rPr>
        <w:t>2.2 Cost compression without competency guardrails</w:t>
      </w:r>
    </w:p>
    <w:p w14:paraId="12C8C6A4" w14:textId="77777777" w:rsidR="00042099" w:rsidRDefault="00042099">
      <w:pPr>
        <w:pStyle w:val="NormalWeb"/>
      </w:pPr>
      <w:r>
        <w:t>When price becomes the dominant filter, the system selects for:</w:t>
      </w:r>
    </w:p>
    <w:p w14:paraId="3B793894" w14:textId="77777777" w:rsidR="00042099" w:rsidRDefault="00042099" w:rsidP="00042099">
      <w:pPr>
        <w:numPr>
          <w:ilvl w:val="0"/>
          <w:numId w:val="5"/>
        </w:numPr>
        <w:spacing w:before="100" w:beforeAutospacing="1" w:after="100" w:afterAutospacing="1" w:line="240" w:lineRule="auto"/>
        <w:rPr>
          <w:rFonts w:eastAsia="Times New Roman"/>
        </w:rPr>
      </w:pPr>
      <w:r>
        <w:rPr>
          <w:rFonts w:eastAsia="Times New Roman"/>
        </w:rPr>
        <w:t>underbidding,</w:t>
      </w:r>
    </w:p>
    <w:p w14:paraId="347C5CAF" w14:textId="77777777" w:rsidR="00042099" w:rsidRDefault="00042099" w:rsidP="00042099">
      <w:pPr>
        <w:numPr>
          <w:ilvl w:val="0"/>
          <w:numId w:val="5"/>
        </w:numPr>
        <w:spacing w:before="100" w:beforeAutospacing="1" w:after="100" w:afterAutospacing="1" w:line="240" w:lineRule="auto"/>
        <w:rPr>
          <w:rFonts w:eastAsia="Times New Roman"/>
        </w:rPr>
      </w:pPr>
      <w:r>
        <w:rPr>
          <w:rFonts w:eastAsia="Times New Roman"/>
        </w:rPr>
        <w:t>informal labor substitution,</w:t>
      </w:r>
    </w:p>
    <w:p w14:paraId="21FC7407" w14:textId="77777777" w:rsidR="00042099" w:rsidRDefault="00042099" w:rsidP="00042099">
      <w:pPr>
        <w:numPr>
          <w:ilvl w:val="0"/>
          <w:numId w:val="5"/>
        </w:numPr>
        <w:spacing w:before="100" w:beforeAutospacing="1" w:after="100" w:afterAutospacing="1" w:line="240" w:lineRule="auto"/>
        <w:rPr>
          <w:rFonts w:eastAsia="Times New Roman"/>
        </w:rPr>
      </w:pPr>
      <w:r>
        <w:rPr>
          <w:rFonts w:eastAsia="Times New Roman"/>
        </w:rPr>
        <w:t>training shortcuts,</w:t>
      </w:r>
    </w:p>
    <w:p w14:paraId="6CFBEAD6" w14:textId="77777777" w:rsidR="00042099" w:rsidRDefault="00042099" w:rsidP="00042099">
      <w:pPr>
        <w:numPr>
          <w:ilvl w:val="0"/>
          <w:numId w:val="5"/>
        </w:numPr>
        <w:spacing w:before="100" w:beforeAutospacing="1" w:after="100" w:afterAutospacing="1" w:line="240" w:lineRule="auto"/>
        <w:rPr>
          <w:rFonts w:eastAsia="Times New Roman"/>
        </w:rPr>
      </w:pPr>
      <w:r>
        <w:rPr>
          <w:rFonts w:eastAsia="Times New Roman"/>
        </w:rPr>
        <w:t>and schedule-driven corner cutting.</w:t>
      </w:r>
    </w:p>
    <w:p w14:paraId="176CF9B9" w14:textId="77777777" w:rsidR="00042099" w:rsidRDefault="00042099">
      <w:pPr>
        <w:pStyle w:val="NormalWeb"/>
      </w:pPr>
      <w:r>
        <w:lastRenderedPageBreak/>
        <w:t>This does not require malice. It is what the incentives reward.</w:t>
      </w:r>
    </w:p>
    <w:p w14:paraId="4AB4E9ED" w14:textId="77777777" w:rsidR="00042099" w:rsidRDefault="00042099">
      <w:pPr>
        <w:pStyle w:val="Heading3"/>
        <w:rPr>
          <w:rFonts w:eastAsia="Times New Roman"/>
        </w:rPr>
      </w:pPr>
      <w:r>
        <w:rPr>
          <w:rFonts w:eastAsia="Times New Roman"/>
        </w:rPr>
        <w:t>2.3 Traceability collapse</w:t>
      </w:r>
    </w:p>
    <w:p w14:paraId="197EFA06" w14:textId="77777777" w:rsidR="00042099" w:rsidRDefault="00042099">
      <w:pPr>
        <w:pStyle w:val="NormalWeb"/>
      </w:pPr>
      <w:r>
        <w:t>When something goes wrong—incident, failure, audit finding—the system cannot reliably answer:</w:t>
      </w:r>
    </w:p>
    <w:p w14:paraId="374A7240" w14:textId="77777777" w:rsidR="00042099" w:rsidRDefault="00042099" w:rsidP="00042099">
      <w:pPr>
        <w:numPr>
          <w:ilvl w:val="0"/>
          <w:numId w:val="6"/>
        </w:numPr>
        <w:spacing w:before="100" w:beforeAutospacing="1" w:after="100" w:afterAutospacing="1" w:line="240" w:lineRule="auto"/>
        <w:rPr>
          <w:rFonts w:eastAsia="Times New Roman"/>
        </w:rPr>
      </w:pPr>
      <w:r>
        <w:rPr>
          <w:rFonts w:eastAsia="Times New Roman"/>
        </w:rPr>
        <w:t>who touched what,</w:t>
      </w:r>
    </w:p>
    <w:p w14:paraId="3E0DD253" w14:textId="77777777" w:rsidR="00042099" w:rsidRDefault="00042099" w:rsidP="00042099">
      <w:pPr>
        <w:numPr>
          <w:ilvl w:val="0"/>
          <w:numId w:val="6"/>
        </w:numPr>
        <w:spacing w:before="100" w:beforeAutospacing="1" w:after="100" w:afterAutospacing="1" w:line="240" w:lineRule="auto"/>
        <w:rPr>
          <w:rFonts w:eastAsia="Times New Roman"/>
        </w:rPr>
      </w:pPr>
      <w:r>
        <w:rPr>
          <w:rFonts w:eastAsia="Times New Roman"/>
        </w:rPr>
        <w:t>under whose supervision,</w:t>
      </w:r>
    </w:p>
    <w:p w14:paraId="334A8229" w14:textId="77777777" w:rsidR="00042099" w:rsidRDefault="00042099" w:rsidP="00042099">
      <w:pPr>
        <w:numPr>
          <w:ilvl w:val="0"/>
          <w:numId w:val="6"/>
        </w:numPr>
        <w:spacing w:before="100" w:beforeAutospacing="1" w:after="100" w:afterAutospacing="1" w:line="240" w:lineRule="auto"/>
        <w:rPr>
          <w:rFonts w:eastAsia="Times New Roman"/>
        </w:rPr>
      </w:pPr>
      <w:r>
        <w:rPr>
          <w:rFonts w:eastAsia="Times New Roman"/>
        </w:rPr>
        <w:t>with what credentials,</w:t>
      </w:r>
    </w:p>
    <w:p w14:paraId="4C7027B9" w14:textId="77777777" w:rsidR="00042099" w:rsidRDefault="00042099" w:rsidP="00042099">
      <w:pPr>
        <w:numPr>
          <w:ilvl w:val="0"/>
          <w:numId w:val="6"/>
        </w:numPr>
        <w:spacing w:before="100" w:beforeAutospacing="1" w:after="100" w:afterAutospacing="1" w:line="240" w:lineRule="auto"/>
        <w:rPr>
          <w:rFonts w:eastAsia="Times New Roman"/>
        </w:rPr>
      </w:pPr>
      <w:r>
        <w:rPr>
          <w:rFonts w:eastAsia="Times New Roman"/>
        </w:rPr>
        <w:t>on what timeline,</w:t>
      </w:r>
    </w:p>
    <w:p w14:paraId="05B0D354" w14:textId="77777777" w:rsidR="00042099" w:rsidRDefault="00042099" w:rsidP="00042099">
      <w:pPr>
        <w:numPr>
          <w:ilvl w:val="0"/>
          <w:numId w:val="6"/>
        </w:numPr>
        <w:spacing w:before="100" w:beforeAutospacing="1" w:after="100" w:afterAutospacing="1" w:line="240" w:lineRule="auto"/>
        <w:rPr>
          <w:rFonts w:eastAsia="Times New Roman"/>
        </w:rPr>
      </w:pPr>
      <w:r>
        <w:rPr>
          <w:rFonts w:eastAsia="Times New Roman"/>
        </w:rPr>
        <w:t>under what scope and change control.</w:t>
      </w:r>
    </w:p>
    <w:p w14:paraId="6BA7FF4D" w14:textId="77777777" w:rsidR="00042099" w:rsidRDefault="00042099">
      <w:pPr>
        <w:pStyle w:val="NormalWeb"/>
      </w:pPr>
      <w:r>
        <w:t>“Accountability” becomes a legal argument instead of a factual record.</w:t>
      </w:r>
    </w:p>
    <w:p w14:paraId="26FA193F" w14:textId="77777777" w:rsidR="00042099" w:rsidRDefault="00042099">
      <w:pPr>
        <w:rPr>
          <w:rFonts w:eastAsia="Times New Roman"/>
        </w:rPr>
      </w:pPr>
      <w:r>
        <w:rPr>
          <w:rFonts w:eastAsia="Times New Roman"/>
          <w:noProof/>
        </w:rPr>
        <mc:AlternateContent>
          <mc:Choice Requires="wps">
            <w:drawing>
              <wp:inline distT="0" distB="0" distL="0" distR="0" wp14:anchorId="33397A83" wp14:editId="3F1DB17B">
                <wp:extent cx="5943600" cy="1270"/>
                <wp:effectExtent l="0" t="31750" r="0" b="36830"/>
                <wp:docPr id="20747202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A5A260"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63A74B7E" w14:textId="77777777" w:rsidR="00042099" w:rsidRDefault="00042099">
      <w:pPr>
        <w:pStyle w:val="Heading2"/>
        <w:rPr>
          <w:rFonts w:eastAsia="Times New Roman"/>
        </w:rPr>
      </w:pPr>
      <w:r>
        <w:rPr>
          <w:rFonts w:eastAsia="Times New Roman"/>
        </w:rPr>
        <w:t>3. The Field Reality: Where Harm Actually Occurs</w:t>
      </w:r>
    </w:p>
    <w:p w14:paraId="2408172A" w14:textId="77777777" w:rsidR="00042099" w:rsidRDefault="00042099">
      <w:pPr>
        <w:pStyle w:val="NormalWeb"/>
      </w:pPr>
      <w:r>
        <w:t>This whitepaper is not written from a boardroom abstraction. It is written from the workface. Telecom construction has a unique hazard profile: elevated work, RF exposure risk, energized systems, rigging, traffic control, weather exposure, remote operations, and compressed outage windows.</w:t>
      </w:r>
    </w:p>
    <w:p w14:paraId="656D596F" w14:textId="77777777" w:rsidR="00042099" w:rsidRDefault="00042099">
      <w:pPr>
        <w:pStyle w:val="NormalWeb"/>
      </w:pPr>
      <w:r>
        <w:t>In this environment, failures are rarely dramatic at first. They are incremental:</w:t>
      </w:r>
    </w:p>
    <w:p w14:paraId="2F0CD37D" w14:textId="77777777" w:rsidR="00042099" w:rsidRDefault="00042099" w:rsidP="00042099">
      <w:pPr>
        <w:numPr>
          <w:ilvl w:val="0"/>
          <w:numId w:val="7"/>
        </w:numPr>
        <w:spacing w:before="100" w:beforeAutospacing="1" w:after="100" w:afterAutospacing="1" w:line="240" w:lineRule="auto"/>
        <w:rPr>
          <w:rFonts w:eastAsia="Times New Roman"/>
        </w:rPr>
      </w:pPr>
      <w:r>
        <w:rPr>
          <w:rFonts w:eastAsia="Times New Roman"/>
        </w:rPr>
        <w:t>a rushed climb with a missing check,</w:t>
      </w:r>
    </w:p>
    <w:p w14:paraId="1A1A25EC" w14:textId="77777777" w:rsidR="00042099" w:rsidRDefault="00042099" w:rsidP="00042099">
      <w:pPr>
        <w:numPr>
          <w:ilvl w:val="0"/>
          <w:numId w:val="7"/>
        </w:numPr>
        <w:spacing w:before="100" w:beforeAutospacing="1" w:after="100" w:afterAutospacing="1" w:line="240" w:lineRule="auto"/>
        <w:rPr>
          <w:rFonts w:eastAsia="Times New Roman"/>
        </w:rPr>
      </w:pPr>
      <w:r>
        <w:rPr>
          <w:rFonts w:eastAsia="Times New Roman"/>
        </w:rPr>
        <w:t>a near-miss that isn’t reported because reporting is punished,</w:t>
      </w:r>
    </w:p>
    <w:p w14:paraId="782D9B75" w14:textId="77777777" w:rsidR="00042099" w:rsidRDefault="00042099" w:rsidP="00042099">
      <w:pPr>
        <w:numPr>
          <w:ilvl w:val="0"/>
          <w:numId w:val="7"/>
        </w:numPr>
        <w:spacing w:before="100" w:beforeAutospacing="1" w:after="100" w:afterAutospacing="1" w:line="240" w:lineRule="auto"/>
        <w:rPr>
          <w:rFonts w:eastAsia="Times New Roman"/>
        </w:rPr>
      </w:pPr>
      <w:r>
        <w:rPr>
          <w:rFonts w:eastAsia="Times New Roman"/>
        </w:rPr>
        <w:t>a crew that isn’t actually trained for the scope they’ve been assigned,</w:t>
      </w:r>
    </w:p>
    <w:p w14:paraId="08B1D7B6" w14:textId="77777777" w:rsidR="00042099" w:rsidRDefault="00042099" w:rsidP="00042099">
      <w:pPr>
        <w:numPr>
          <w:ilvl w:val="0"/>
          <w:numId w:val="7"/>
        </w:numPr>
        <w:spacing w:before="100" w:beforeAutospacing="1" w:after="100" w:afterAutospacing="1" w:line="240" w:lineRule="auto"/>
        <w:rPr>
          <w:rFonts w:eastAsia="Times New Roman"/>
        </w:rPr>
      </w:pPr>
      <w:r>
        <w:rPr>
          <w:rFonts w:eastAsia="Times New Roman"/>
        </w:rPr>
        <w:t>an inspector who never shows because the schedule is “more important.”</w:t>
      </w:r>
    </w:p>
    <w:p w14:paraId="29AD0C81" w14:textId="77777777" w:rsidR="00042099" w:rsidRDefault="00042099">
      <w:pPr>
        <w:pStyle w:val="NormalWeb"/>
      </w:pPr>
      <w:r>
        <w:t>Over time, these increments become culture. Culture becomes norm. Norm becomes fatal.</w:t>
      </w:r>
    </w:p>
    <w:p w14:paraId="6EC56ADB" w14:textId="77777777" w:rsidR="00042099" w:rsidRDefault="00042099">
      <w:pPr>
        <w:rPr>
          <w:rFonts w:eastAsia="Times New Roman"/>
        </w:rPr>
      </w:pPr>
      <w:r>
        <w:rPr>
          <w:rFonts w:eastAsia="Times New Roman"/>
          <w:noProof/>
        </w:rPr>
        <mc:AlternateContent>
          <mc:Choice Requires="wps">
            <w:drawing>
              <wp:inline distT="0" distB="0" distL="0" distR="0" wp14:anchorId="712E96DE" wp14:editId="235EC507">
                <wp:extent cx="5943600" cy="1270"/>
                <wp:effectExtent l="0" t="31750" r="0" b="36830"/>
                <wp:docPr id="12339790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D2B716"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6A14407" w14:textId="77777777" w:rsidR="00042099" w:rsidRDefault="00042099">
      <w:pPr>
        <w:pStyle w:val="Heading2"/>
        <w:rPr>
          <w:rFonts w:eastAsia="Times New Roman"/>
        </w:rPr>
      </w:pPr>
      <w:r>
        <w:rPr>
          <w:rFonts w:eastAsia="Times New Roman"/>
        </w:rPr>
        <w:t>4. The Workforce Invisibility Problem</w:t>
      </w:r>
    </w:p>
    <w:p w14:paraId="13BB8CC0" w14:textId="77777777" w:rsidR="00042099" w:rsidRDefault="00042099">
      <w:pPr>
        <w:pStyle w:val="NormalWeb"/>
      </w:pPr>
      <w:r>
        <w:t>The telecom workforce is simultaneously everywhere and nowhere.</w:t>
      </w:r>
    </w:p>
    <w:p w14:paraId="1D134AD0" w14:textId="77777777" w:rsidR="00042099" w:rsidRDefault="00042099" w:rsidP="00042099">
      <w:pPr>
        <w:numPr>
          <w:ilvl w:val="0"/>
          <w:numId w:val="8"/>
        </w:numPr>
        <w:spacing w:before="100" w:beforeAutospacing="1" w:after="100" w:afterAutospacing="1" w:line="240" w:lineRule="auto"/>
        <w:rPr>
          <w:rFonts w:eastAsia="Times New Roman"/>
        </w:rPr>
      </w:pPr>
      <w:r>
        <w:rPr>
          <w:rFonts w:eastAsia="Times New Roman"/>
        </w:rPr>
        <w:t>It builds the backbone of American life.</w:t>
      </w:r>
    </w:p>
    <w:p w14:paraId="0829D5B9" w14:textId="77777777" w:rsidR="00042099" w:rsidRDefault="00042099" w:rsidP="00042099">
      <w:pPr>
        <w:numPr>
          <w:ilvl w:val="0"/>
          <w:numId w:val="8"/>
        </w:numPr>
        <w:spacing w:before="100" w:beforeAutospacing="1" w:after="100" w:afterAutospacing="1" w:line="240" w:lineRule="auto"/>
        <w:rPr>
          <w:rFonts w:eastAsia="Times New Roman"/>
        </w:rPr>
      </w:pPr>
      <w:r>
        <w:rPr>
          <w:rFonts w:eastAsia="Times New Roman"/>
        </w:rPr>
        <w:t>It is rarely visible in public policy.</w:t>
      </w:r>
    </w:p>
    <w:p w14:paraId="47F8CA9C" w14:textId="77777777" w:rsidR="00042099" w:rsidRDefault="00042099" w:rsidP="00042099">
      <w:pPr>
        <w:numPr>
          <w:ilvl w:val="0"/>
          <w:numId w:val="8"/>
        </w:numPr>
        <w:spacing w:before="100" w:beforeAutospacing="1" w:after="100" w:afterAutospacing="1" w:line="240" w:lineRule="auto"/>
        <w:rPr>
          <w:rFonts w:eastAsia="Times New Roman"/>
        </w:rPr>
      </w:pPr>
      <w:r>
        <w:rPr>
          <w:rFonts w:eastAsia="Times New Roman"/>
        </w:rPr>
        <w:t>It is often absent from standardized national credentialing frameworks.</w:t>
      </w:r>
    </w:p>
    <w:p w14:paraId="2E81A98D" w14:textId="77777777" w:rsidR="00042099" w:rsidRDefault="00042099" w:rsidP="00042099">
      <w:pPr>
        <w:numPr>
          <w:ilvl w:val="0"/>
          <w:numId w:val="8"/>
        </w:numPr>
        <w:spacing w:before="100" w:beforeAutospacing="1" w:after="100" w:afterAutospacing="1" w:line="240" w:lineRule="auto"/>
        <w:rPr>
          <w:rFonts w:eastAsia="Times New Roman"/>
        </w:rPr>
      </w:pPr>
      <w:r>
        <w:rPr>
          <w:rFonts w:eastAsia="Times New Roman"/>
        </w:rPr>
        <w:t>It is frequently treated as interchangeable labor.</w:t>
      </w:r>
    </w:p>
    <w:p w14:paraId="3F5248C2" w14:textId="77777777" w:rsidR="00042099" w:rsidRDefault="00042099">
      <w:pPr>
        <w:pStyle w:val="NormalWeb"/>
      </w:pPr>
      <w:r>
        <w:lastRenderedPageBreak/>
        <w:t>This creates a perverse outcome: the workforce is expected to execute mission-critical infrastructure, yet is denied the structural protections and professional recognition consistent with that mission.</w:t>
      </w:r>
    </w:p>
    <w:p w14:paraId="52BE1FB4" w14:textId="77777777" w:rsidR="00042099" w:rsidRDefault="00042099">
      <w:pPr>
        <w:pStyle w:val="NormalWeb"/>
      </w:pPr>
      <w:r>
        <w:t>When a workforce is invisible, exploitation becomes easy. When exploitation is easy, competency drains. When competency drains, safety collapses and quality degrades. Then costs rise anyway—through rework, delays, claims, and attrition.</w:t>
      </w:r>
    </w:p>
    <w:p w14:paraId="62D32570" w14:textId="77777777" w:rsidR="00042099" w:rsidRDefault="00042099">
      <w:pPr>
        <w:rPr>
          <w:rFonts w:eastAsia="Times New Roman"/>
        </w:rPr>
      </w:pPr>
      <w:r>
        <w:rPr>
          <w:rFonts w:eastAsia="Times New Roman"/>
          <w:noProof/>
        </w:rPr>
        <mc:AlternateContent>
          <mc:Choice Requires="wps">
            <w:drawing>
              <wp:inline distT="0" distB="0" distL="0" distR="0" wp14:anchorId="05B9531F" wp14:editId="31B67ADE">
                <wp:extent cx="5943600" cy="1270"/>
                <wp:effectExtent l="0" t="31750" r="0" b="36830"/>
                <wp:docPr id="12493953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455A06"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59502CDA" w14:textId="77777777" w:rsidR="00042099" w:rsidRDefault="00042099">
      <w:pPr>
        <w:pStyle w:val="Heading2"/>
        <w:rPr>
          <w:rFonts w:eastAsia="Times New Roman"/>
        </w:rPr>
      </w:pPr>
      <w:r>
        <w:rPr>
          <w:rFonts w:eastAsia="Times New Roman"/>
        </w:rPr>
        <w:t>5. How Money Distorts Under Weak Governance</w:t>
      </w:r>
    </w:p>
    <w:p w14:paraId="73D58800" w14:textId="77777777" w:rsidR="00042099" w:rsidRDefault="00042099">
      <w:pPr>
        <w:pStyle w:val="NormalWeb"/>
      </w:pPr>
      <w:r>
        <w:t>Large funding streams do not automatically create better outcomes. In poorly governed delivery systems, money increases the payoff for opacity.</w:t>
      </w:r>
    </w:p>
    <w:p w14:paraId="61CF5BEA" w14:textId="77777777" w:rsidR="00042099" w:rsidRDefault="00042099">
      <w:pPr>
        <w:pStyle w:val="NormalWeb"/>
      </w:pPr>
      <w:r>
        <w:t>Common failure patterns include:</w:t>
      </w:r>
    </w:p>
    <w:p w14:paraId="6B05F9D8" w14:textId="77777777" w:rsidR="00042099" w:rsidRDefault="00042099">
      <w:pPr>
        <w:pStyle w:val="Heading3"/>
        <w:rPr>
          <w:rFonts w:eastAsia="Times New Roman"/>
        </w:rPr>
      </w:pPr>
      <w:r>
        <w:rPr>
          <w:rFonts w:eastAsia="Times New Roman"/>
        </w:rPr>
        <w:t>5.1 “Middle-margin” extraction</w:t>
      </w:r>
    </w:p>
    <w:p w14:paraId="5F4ECB81" w14:textId="77777777" w:rsidR="00042099" w:rsidRDefault="00042099">
      <w:pPr>
        <w:pStyle w:val="NormalWeb"/>
      </w:pPr>
      <w:r>
        <w:t>Value is not created through better training or safer operations. It is created through:</w:t>
      </w:r>
    </w:p>
    <w:p w14:paraId="6CE1ED40" w14:textId="77777777" w:rsidR="00042099" w:rsidRDefault="00042099" w:rsidP="00042099">
      <w:pPr>
        <w:numPr>
          <w:ilvl w:val="0"/>
          <w:numId w:val="9"/>
        </w:numPr>
        <w:spacing w:before="100" w:beforeAutospacing="1" w:after="100" w:afterAutospacing="1" w:line="240" w:lineRule="auto"/>
        <w:rPr>
          <w:rFonts w:eastAsia="Times New Roman"/>
        </w:rPr>
      </w:pPr>
      <w:r>
        <w:rPr>
          <w:rFonts w:eastAsia="Times New Roman"/>
        </w:rPr>
        <w:t>contractual arbitrage,</w:t>
      </w:r>
    </w:p>
    <w:p w14:paraId="3257A4D7" w14:textId="77777777" w:rsidR="00042099" w:rsidRDefault="00042099" w:rsidP="00042099">
      <w:pPr>
        <w:numPr>
          <w:ilvl w:val="0"/>
          <w:numId w:val="9"/>
        </w:numPr>
        <w:spacing w:before="100" w:beforeAutospacing="1" w:after="100" w:afterAutospacing="1" w:line="240" w:lineRule="auto"/>
        <w:rPr>
          <w:rFonts w:eastAsia="Times New Roman"/>
        </w:rPr>
      </w:pPr>
      <w:r>
        <w:rPr>
          <w:rFonts w:eastAsia="Times New Roman"/>
        </w:rPr>
        <w:t>billing ambiguity,</w:t>
      </w:r>
    </w:p>
    <w:p w14:paraId="675B97DB" w14:textId="77777777" w:rsidR="00042099" w:rsidRDefault="00042099" w:rsidP="00042099">
      <w:pPr>
        <w:numPr>
          <w:ilvl w:val="0"/>
          <w:numId w:val="9"/>
        </w:numPr>
        <w:spacing w:before="100" w:beforeAutospacing="1" w:after="100" w:afterAutospacing="1" w:line="240" w:lineRule="auto"/>
        <w:rPr>
          <w:rFonts w:eastAsia="Times New Roman"/>
        </w:rPr>
      </w:pPr>
      <w:r>
        <w:rPr>
          <w:rFonts w:eastAsia="Times New Roman"/>
        </w:rPr>
        <w:t>and scope confusion.</w:t>
      </w:r>
    </w:p>
    <w:p w14:paraId="3FDD9EE6" w14:textId="77777777" w:rsidR="00042099" w:rsidRDefault="00042099">
      <w:pPr>
        <w:pStyle w:val="Heading3"/>
        <w:rPr>
          <w:rFonts w:eastAsia="Times New Roman"/>
        </w:rPr>
      </w:pPr>
      <w:r>
        <w:rPr>
          <w:rFonts w:eastAsia="Times New Roman"/>
        </w:rPr>
        <w:t>5.2 Phantom productivity</w:t>
      </w:r>
    </w:p>
    <w:p w14:paraId="3425BE70" w14:textId="77777777" w:rsidR="00042099" w:rsidRDefault="00042099">
      <w:pPr>
        <w:pStyle w:val="NormalWeb"/>
      </w:pPr>
      <w:r>
        <w:t>Schedule pressure encourages reporting artifacts:</w:t>
      </w:r>
    </w:p>
    <w:p w14:paraId="2707A335" w14:textId="77777777" w:rsidR="00042099" w:rsidRDefault="00042099" w:rsidP="00042099">
      <w:pPr>
        <w:numPr>
          <w:ilvl w:val="0"/>
          <w:numId w:val="10"/>
        </w:numPr>
        <w:spacing w:before="100" w:beforeAutospacing="1" w:after="100" w:afterAutospacing="1" w:line="240" w:lineRule="auto"/>
        <w:rPr>
          <w:rFonts w:eastAsia="Times New Roman"/>
        </w:rPr>
      </w:pPr>
      <w:r>
        <w:rPr>
          <w:rFonts w:eastAsia="Times New Roman"/>
        </w:rPr>
        <w:t>work “closed” on paper but incomplete in reality,</w:t>
      </w:r>
    </w:p>
    <w:p w14:paraId="6B0CFDE5" w14:textId="77777777" w:rsidR="00042099" w:rsidRDefault="00042099" w:rsidP="00042099">
      <w:pPr>
        <w:numPr>
          <w:ilvl w:val="0"/>
          <w:numId w:val="10"/>
        </w:numPr>
        <w:spacing w:before="100" w:beforeAutospacing="1" w:after="100" w:afterAutospacing="1" w:line="240" w:lineRule="auto"/>
        <w:rPr>
          <w:rFonts w:eastAsia="Times New Roman"/>
        </w:rPr>
      </w:pPr>
      <w:r>
        <w:rPr>
          <w:rFonts w:eastAsia="Times New Roman"/>
        </w:rPr>
        <w:t>metrics optimized for dashboards rather than field truth,</w:t>
      </w:r>
    </w:p>
    <w:p w14:paraId="6C752BA1" w14:textId="77777777" w:rsidR="00042099" w:rsidRDefault="00042099" w:rsidP="00042099">
      <w:pPr>
        <w:numPr>
          <w:ilvl w:val="0"/>
          <w:numId w:val="10"/>
        </w:numPr>
        <w:spacing w:before="100" w:beforeAutospacing="1" w:after="100" w:afterAutospacing="1" w:line="240" w:lineRule="auto"/>
        <w:rPr>
          <w:rFonts w:eastAsia="Times New Roman"/>
        </w:rPr>
      </w:pPr>
      <w:r>
        <w:rPr>
          <w:rFonts w:eastAsia="Times New Roman"/>
        </w:rPr>
        <w:t>ticket churn without durable quality.</w:t>
      </w:r>
    </w:p>
    <w:p w14:paraId="6617BFD7" w14:textId="77777777" w:rsidR="00042099" w:rsidRDefault="00042099">
      <w:pPr>
        <w:pStyle w:val="Heading3"/>
        <w:rPr>
          <w:rFonts w:eastAsia="Times New Roman"/>
        </w:rPr>
      </w:pPr>
      <w:r>
        <w:rPr>
          <w:rFonts w:eastAsia="Times New Roman"/>
        </w:rPr>
        <w:t>5.3 Change-order gravity</w:t>
      </w:r>
    </w:p>
    <w:p w14:paraId="38277ACA" w14:textId="77777777" w:rsidR="00042099" w:rsidRDefault="00042099">
      <w:pPr>
        <w:pStyle w:val="NormalWeb"/>
      </w:pPr>
      <w:r>
        <w:t>When scopes are poorly defined and accountability is fragmented, change orders become inevitable. This is not always fraud. But the system makes it indistinguishable from fraud.</w:t>
      </w:r>
    </w:p>
    <w:p w14:paraId="5D9E6F7F" w14:textId="77777777" w:rsidR="00042099" w:rsidRDefault="00042099">
      <w:pPr>
        <w:pStyle w:val="NormalWeb"/>
      </w:pPr>
      <w:r>
        <w:t>The result is predictable: public dollars are spent, but trust declines.</w:t>
      </w:r>
    </w:p>
    <w:p w14:paraId="22284C5B" w14:textId="77777777" w:rsidR="00042099" w:rsidRDefault="00042099">
      <w:pPr>
        <w:rPr>
          <w:rFonts w:eastAsia="Times New Roman"/>
        </w:rPr>
      </w:pPr>
      <w:r>
        <w:rPr>
          <w:rFonts w:eastAsia="Times New Roman"/>
          <w:noProof/>
        </w:rPr>
        <mc:AlternateContent>
          <mc:Choice Requires="wps">
            <w:drawing>
              <wp:inline distT="0" distB="0" distL="0" distR="0" wp14:anchorId="40946FBD" wp14:editId="198F7E61">
                <wp:extent cx="5943600" cy="1270"/>
                <wp:effectExtent l="0" t="31750" r="0" b="36830"/>
                <wp:docPr id="1823471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3138C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F060424" w14:textId="77777777" w:rsidR="00042099" w:rsidRDefault="00042099">
      <w:pPr>
        <w:pStyle w:val="Heading2"/>
        <w:rPr>
          <w:rFonts w:eastAsia="Times New Roman"/>
        </w:rPr>
      </w:pPr>
      <w:r>
        <w:rPr>
          <w:rFonts w:eastAsia="Times New Roman"/>
        </w:rPr>
        <w:lastRenderedPageBreak/>
        <w:t>6. Why Traditional Fixes Don’t Work</w:t>
      </w:r>
    </w:p>
    <w:p w14:paraId="24D9C50D" w14:textId="77777777" w:rsidR="00042099" w:rsidRDefault="00042099">
      <w:pPr>
        <w:pStyle w:val="NormalWeb"/>
      </w:pPr>
      <w:r>
        <w:t>The industry often reaches for familiar solutions:</w:t>
      </w:r>
    </w:p>
    <w:p w14:paraId="516953D2" w14:textId="77777777" w:rsidR="00042099" w:rsidRDefault="00042099" w:rsidP="00042099">
      <w:pPr>
        <w:numPr>
          <w:ilvl w:val="0"/>
          <w:numId w:val="11"/>
        </w:numPr>
        <w:spacing w:before="100" w:beforeAutospacing="1" w:after="100" w:afterAutospacing="1" w:line="240" w:lineRule="auto"/>
        <w:rPr>
          <w:rFonts w:eastAsia="Times New Roman"/>
        </w:rPr>
      </w:pPr>
      <w:r>
        <w:rPr>
          <w:rFonts w:eastAsia="Times New Roman"/>
        </w:rPr>
        <w:t>more audits,</w:t>
      </w:r>
    </w:p>
    <w:p w14:paraId="50C17FCC" w14:textId="77777777" w:rsidR="00042099" w:rsidRDefault="00042099" w:rsidP="00042099">
      <w:pPr>
        <w:numPr>
          <w:ilvl w:val="0"/>
          <w:numId w:val="11"/>
        </w:numPr>
        <w:spacing w:before="100" w:beforeAutospacing="1" w:after="100" w:afterAutospacing="1" w:line="240" w:lineRule="auto"/>
        <w:rPr>
          <w:rFonts w:eastAsia="Times New Roman"/>
        </w:rPr>
      </w:pPr>
      <w:r>
        <w:rPr>
          <w:rFonts w:eastAsia="Times New Roman"/>
        </w:rPr>
        <w:t>more safety posters,</w:t>
      </w:r>
    </w:p>
    <w:p w14:paraId="2A508D27" w14:textId="77777777" w:rsidR="00042099" w:rsidRDefault="00042099" w:rsidP="00042099">
      <w:pPr>
        <w:numPr>
          <w:ilvl w:val="0"/>
          <w:numId w:val="11"/>
        </w:numPr>
        <w:spacing w:before="100" w:beforeAutospacing="1" w:after="100" w:afterAutospacing="1" w:line="240" w:lineRule="auto"/>
        <w:rPr>
          <w:rFonts w:eastAsia="Times New Roman"/>
        </w:rPr>
      </w:pPr>
      <w:r>
        <w:rPr>
          <w:rFonts w:eastAsia="Times New Roman"/>
        </w:rPr>
        <w:t>more compliance training modules,</w:t>
      </w:r>
    </w:p>
    <w:p w14:paraId="6F43D50D" w14:textId="77777777" w:rsidR="00042099" w:rsidRDefault="00042099" w:rsidP="00042099">
      <w:pPr>
        <w:numPr>
          <w:ilvl w:val="0"/>
          <w:numId w:val="11"/>
        </w:numPr>
        <w:spacing w:before="100" w:beforeAutospacing="1" w:after="100" w:afterAutospacing="1" w:line="240" w:lineRule="auto"/>
        <w:rPr>
          <w:rFonts w:eastAsia="Times New Roman"/>
        </w:rPr>
      </w:pPr>
      <w:r>
        <w:rPr>
          <w:rFonts w:eastAsia="Times New Roman"/>
        </w:rPr>
        <w:t>more vendor scorecards.</w:t>
      </w:r>
    </w:p>
    <w:p w14:paraId="1851434B" w14:textId="77777777" w:rsidR="00042099" w:rsidRDefault="00042099">
      <w:pPr>
        <w:pStyle w:val="NormalWeb"/>
      </w:pPr>
      <w:r>
        <w:t>These help at the margins, but they do not change the core mechanics.</w:t>
      </w:r>
    </w:p>
    <w:p w14:paraId="008F598F" w14:textId="77777777" w:rsidR="00042099" w:rsidRDefault="00042099">
      <w:pPr>
        <w:pStyle w:val="Heading3"/>
        <w:rPr>
          <w:rFonts w:eastAsia="Times New Roman"/>
        </w:rPr>
      </w:pPr>
      <w:r>
        <w:rPr>
          <w:rFonts w:eastAsia="Times New Roman"/>
        </w:rPr>
        <w:t>Audits without traceability are theatre</w:t>
      </w:r>
    </w:p>
    <w:p w14:paraId="166B771A" w14:textId="77777777" w:rsidR="00042099" w:rsidRDefault="00042099">
      <w:pPr>
        <w:pStyle w:val="NormalWeb"/>
      </w:pPr>
      <w:r>
        <w:t>Audits require records. If the system cannot produce clean workforce and scope traceability, audits become after-the-fact blame assignment rather than prevention.</w:t>
      </w:r>
    </w:p>
    <w:p w14:paraId="33C4E41C" w14:textId="77777777" w:rsidR="00042099" w:rsidRDefault="00042099">
      <w:pPr>
        <w:pStyle w:val="Heading3"/>
        <w:rPr>
          <w:rFonts w:eastAsia="Times New Roman"/>
        </w:rPr>
      </w:pPr>
      <w:r>
        <w:rPr>
          <w:rFonts w:eastAsia="Times New Roman"/>
        </w:rPr>
        <w:t>Safety programs without enforcement become branding</w:t>
      </w:r>
    </w:p>
    <w:p w14:paraId="236FC5FA" w14:textId="77777777" w:rsidR="00042099" w:rsidRDefault="00042099">
      <w:pPr>
        <w:pStyle w:val="NormalWeb"/>
      </w:pPr>
      <w:r>
        <w:t>Safety is not a slogan. It is an enforcement regime with clear authority, stop-work power, and consequences. If those do not exist across tiers, safety becomes optional.</w:t>
      </w:r>
    </w:p>
    <w:p w14:paraId="120AC1B5" w14:textId="77777777" w:rsidR="00042099" w:rsidRDefault="00042099">
      <w:pPr>
        <w:pStyle w:val="Heading3"/>
        <w:rPr>
          <w:rFonts w:eastAsia="Times New Roman"/>
        </w:rPr>
      </w:pPr>
      <w:r>
        <w:rPr>
          <w:rFonts w:eastAsia="Times New Roman"/>
        </w:rPr>
        <w:t>Procurement without competency standards selects for failure</w:t>
      </w:r>
    </w:p>
    <w:p w14:paraId="41B5E939" w14:textId="77777777" w:rsidR="00042099" w:rsidRDefault="00042099">
      <w:pPr>
        <w:pStyle w:val="NormalWeb"/>
      </w:pPr>
      <w:r>
        <w:t>If credential and safety prerequisites are not enforced at the contracting gate, “low bid” will continue to purchase risk.</w:t>
      </w:r>
    </w:p>
    <w:p w14:paraId="7AC11532" w14:textId="77777777" w:rsidR="00042099" w:rsidRDefault="00042099">
      <w:pPr>
        <w:rPr>
          <w:rFonts w:eastAsia="Times New Roman"/>
        </w:rPr>
      </w:pPr>
      <w:r>
        <w:rPr>
          <w:rFonts w:eastAsia="Times New Roman"/>
          <w:noProof/>
        </w:rPr>
        <mc:AlternateContent>
          <mc:Choice Requires="wps">
            <w:drawing>
              <wp:inline distT="0" distB="0" distL="0" distR="0" wp14:anchorId="30F0051D" wp14:editId="0300F405">
                <wp:extent cx="5943600" cy="1270"/>
                <wp:effectExtent l="0" t="31750" r="0" b="36830"/>
                <wp:docPr id="9454020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821D07"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5C570D75" w14:textId="77777777" w:rsidR="00042099" w:rsidRDefault="00042099">
      <w:pPr>
        <w:pStyle w:val="Heading2"/>
        <w:rPr>
          <w:rFonts w:eastAsia="Times New Roman"/>
        </w:rPr>
      </w:pPr>
      <w:r>
        <w:rPr>
          <w:rFonts w:eastAsia="Times New Roman"/>
        </w:rPr>
        <w:t>7. The Structural Solution: A Standards and Traceability Institution</w:t>
      </w:r>
    </w:p>
    <w:p w14:paraId="12AC29BB" w14:textId="77777777" w:rsidR="00042099" w:rsidRDefault="00042099">
      <w:pPr>
        <w:pStyle w:val="NormalWeb"/>
      </w:pPr>
      <w:r>
        <w:t xml:space="preserve">ATG is not proposed because the industry lacks good people. It is proposed because the industry lacks a </w:t>
      </w:r>
      <w:r>
        <w:rPr>
          <w:rStyle w:val="Strong"/>
        </w:rPr>
        <w:t>credible standards and traceability institution</w:t>
      </w:r>
      <w:r>
        <w:t xml:space="preserve"> that can operate at national scale while respecting existing carrier–GC relationships.</w:t>
      </w:r>
    </w:p>
    <w:p w14:paraId="71C9B7CF" w14:textId="77777777" w:rsidR="00042099" w:rsidRDefault="00042099">
      <w:pPr>
        <w:pStyle w:val="NormalWeb"/>
      </w:pPr>
      <w:r>
        <w:t>The missing capabilities are:</w:t>
      </w:r>
    </w:p>
    <w:p w14:paraId="629D67F9" w14:textId="77777777" w:rsidR="00042099" w:rsidRDefault="00042099" w:rsidP="00042099">
      <w:pPr>
        <w:numPr>
          <w:ilvl w:val="0"/>
          <w:numId w:val="12"/>
        </w:numPr>
        <w:spacing w:before="100" w:beforeAutospacing="1" w:after="100" w:afterAutospacing="1" w:line="240" w:lineRule="auto"/>
        <w:rPr>
          <w:rFonts w:eastAsia="Times New Roman"/>
        </w:rPr>
      </w:pPr>
      <w:r>
        <w:rPr>
          <w:rStyle w:val="Strong"/>
          <w:rFonts w:eastAsia="Times New Roman"/>
        </w:rPr>
        <w:t>Portable workforce credentialing</w:t>
      </w:r>
      <w:r>
        <w:rPr>
          <w:rFonts w:eastAsia="Times New Roman"/>
        </w:rPr>
        <w:t xml:space="preserve"> that is verifiable and role-specific</w:t>
      </w:r>
    </w:p>
    <w:p w14:paraId="4BAAAB53" w14:textId="77777777" w:rsidR="00042099" w:rsidRDefault="00042099" w:rsidP="00042099">
      <w:pPr>
        <w:numPr>
          <w:ilvl w:val="0"/>
          <w:numId w:val="12"/>
        </w:numPr>
        <w:spacing w:before="100" w:beforeAutospacing="1" w:after="100" w:afterAutospacing="1" w:line="240" w:lineRule="auto"/>
        <w:rPr>
          <w:rFonts w:eastAsia="Times New Roman"/>
        </w:rPr>
      </w:pPr>
      <w:r>
        <w:rPr>
          <w:rStyle w:val="Strong"/>
          <w:rFonts w:eastAsia="Times New Roman"/>
        </w:rPr>
        <w:t>Safety enforcement</w:t>
      </w:r>
      <w:r>
        <w:rPr>
          <w:rFonts w:eastAsia="Times New Roman"/>
        </w:rPr>
        <w:t xml:space="preserve"> that has real authority in the field</w:t>
      </w:r>
    </w:p>
    <w:p w14:paraId="6D7B7042" w14:textId="77777777" w:rsidR="00042099" w:rsidRDefault="00042099" w:rsidP="00042099">
      <w:pPr>
        <w:numPr>
          <w:ilvl w:val="0"/>
          <w:numId w:val="12"/>
        </w:numPr>
        <w:spacing w:before="100" w:beforeAutospacing="1" w:after="100" w:afterAutospacing="1" w:line="240" w:lineRule="auto"/>
        <w:rPr>
          <w:rFonts w:eastAsia="Times New Roman"/>
        </w:rPr>
      </w:pPr>
      <w:r>
        <w:rPr>
          <w:rStyle w:val="Strong"/>
          <w:rFonts w:eastAsia="Times New Roman"/>
        </w:rPr>
        <w:t>Contract transparency</w:t>
      </w:r>
      <w:r>
        <w:rPr>
          <w:rFonts w:eastAsia="Times New Roman"/>
        </w:rPr>
        <w:t xml:space="preserve"> that constrains exploitative layering</w:t>
      </w:r>
    </w:p>
    <w:p w14:paraId="338E7D67" w14:textId="77777777" w:rsidR="00042099" w:rsidRDefault="00042099" w:rsidP="00042099">
      <w:pPr>
        <w:numPr>
          <w:ilvl w:val="0"/>
          <w:numId w:val="12"/>
        </w:numPr>
        <w:spacing w:before="100" w:beforeAutospacing="1" w:after="100" w:afterAutospacing="1" w:line="240" w:lineRule="auto"/>
        <w:rPr>
          <w:rFonts w:eastAsia="Times New Roman"/>
        </w:rPr>
      </w:pPr>
      <w:r>
        <w:rPr>
          <w:rStyle w:val="Strong"/>
          <w:rFonts w:eastAsia="Times New Roman"/>
        </w:rPr>
        <w:t>Accountability records</w:t>
      </w:r>
      <w:r>
        <w:rPr>
          <w:rFonts w:eastAsia="Times New Roman"/>
        </w:rPr>
        <w:t xml:space="preserve"> that survive disputes and audits</w:t>
      </w:r>
    </w:p>
    <w:p w14:paraId="7C6DA1C5" w14:textId="77777777" w:rsidR="00042099" w:rsidRDefault="00042099" w:rsidP="00042099">
      <w:pPr>
        <w:numPr>
          <w:ilvl w:val="0"/>
          <w:numId w:val="12"/>
        </w:numPr>
        <w:spacing w:before="100" w:beforeAutospacing="1" w:after="100" w:afterAutospacing="1" w:line="240" w:lineRule="auto"/>
        <w:rPr>
          <w:rFonts w:eastAsia="Times New Roman"/>
        </w:rPr>
      </w:pPr>
      <w:r>
        <w:rPr>
          <w:rStyle w:val="Strong"/>
          <w:rFonts w:eastAsia="Times New Roman"/>
        </w:rPr>
        <w:t>Workforce development pathways</w:t>
      </w:r>
      <w:r>
        <w:rPr>
          <w:rFonts w:eastAsia="Times New Roman"/>
        </w:rPr>
        <w:t xml:space="preserve"> that do not extract tuition from workers</w:t>
      </w:r>
    </w:p>
    <w:p w14:paraId="14E3FC1A" w14:textId="77777777" w:rsidR="00042099" w:rsidRDefault="00042099">
      <w:pPr>
        <w:pStyle w:val="NormalWeb"/>
      </w:pPr>
      <w:r>
        <w:lastRenderedPageBreak/>
        <w:t>When these are absent, the system will continue to generate the same outcomes regardless of good intentions.</w:t>
      </w:r>
    </w:p>
    <w:p w14:paraId="094B3CC0" w14:textId="77777777" w:rsidR="00042099" w:rsidRDefault="00042099">
      <w:pPr>
        <w:rPr>
          <w:rFonts w:eastAsia="Times New Roman"/>
        </w:rPr>
      </w:pPr>
      <w:r>
        <w:rPr>
          <w:rFonts w:eastAsia="Times New Roman"/>
          <w:noProof/>
        </w:rPr>
        <mc:AlternateContent>
          <mc:Choice Requires="wps">
            <w:drawing>
              <wp:inline distT="0" distB="0" distL="0" distR="0" wp14:anchorId="569E060F" wp14:editId="075B47AB">
                <wp:extent cx="5943600" cy="1270"/>
                <wp:effectExtent l="0" t="31750" r="0" b="36830"/>
                <wp:docPr id="19092612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0F4BB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6665A48" w14:textId="77777777" w:rsidR="00042099" w:rsidRDefault="00042099">
      <w:pPr>
        <w:pStyle w:val="Heading2"/>
        <w:rPr>
          <w:rFonts w:eastAsia="Times New Roman"/>
        </w:rPr>
      </w:pPr>
      <w:r>
        <w:rPr>
          <w:rFonts w:eastAsia="Times New Roman"/>
        </w:rPr>
        <w:t>8. Why the ATG Model is Designed to Be Adoptable</w:t>
      </w:r>
    </w:p>
    <w:p w14:paraId="3FA24F67" w14:textId="77777777" w:rsidR="00042099" w:rsidRDefault="00042099">
      <w:pPr>
        <w:pStyle w:val="NormalWeb"/>
      </w:pPr>
      <w:r>
        <w:t>ATG’s operational posture is intentionally restrained:</w:t>
      </w:r>
    </w:p>
    <w:p w14:paraId="50CCF4B0" w14:textId="77777777" w:rsidR="00042099" w:rsidRDefault="00042099" w:rsidP="00042099">
      <w:pPr>
        <w:numPr>
          <w:ilvl w:val="0"/>
          <w:numId w:val="13"/>
        </w:numPr>
        <w:spacing w:before="100" w:beforeAutospacing="1" w:after="100" w:afterAutospacing="1" w:line="240" w:lineRule="auto"/>
        <w:rPr>
          <w:rFonts w:eastAsia="Times New Roman"/>
        </w:rPr>
      </w:pPr>
      <w:r>
        <w:rPr>
          <w:rFonts w:eastAsia="Times New Roman"/>
        </w:rPr>
        <w:t>It is not built to displace primes or GCs.</w:t>
      </w:r>
    </w:p>
    <w:p w14:paraId="61D3EEB5" w14:textId="77777777" w:rsidR="00042099" w:rsidRDefault="00042099" w:rsidP="00042099">
      <w:pPr>
        <w:numPr>
          <w:ilvl w:val="0"/>
          <w:numId w:val="13"/>
        </w:numPr>
        <w:spacing w:before="100" w:beforeAutospacing="1" w:after="100" w:afterAutospacing="1" w:line="240" w:lineRule="auto"/>
        <w:rPr>
          <w:rFonts w:eastAsia="Times New Roman"/>
        </w:rPr>
      </w:pPr>
      <w:r>
        <w:rPr>
          <w:rFonts w:eastAsia="Times New Roman"/>
        </w:rPr>
        <w:t>It is built to stabilize delivery where demand exceeds capacity.</w:t>
      </w:r>
    </w:p>
    <w:p w14:paraId="1A798FBD" w14:textId="77777777" w:rsidR="00042099" w:rsidRDefault="00042099" w:rsidP="00042099">
      <w:pPr>
        <w:numPr>
          <w:ilvl w:val="0"/>
          <w:numId w:val="13"/>
        </w:numPr>
        <w:spacing w:before="100" w:beforeAutospacing="1" w:after="100" w:afterAutospacing="1" w:line="240" w:lineRule="auto"/>
        <w:rPr>
          <w:rFonts w:eastAsia="Times New Roman"/>
        </w:rPr>
      </w:pPr>
      <w:r>
        <w:rPr>
          <w:rFonts w:eastAsia="Times New Roman"/>
        </w:rPr>
        <w:t>It operates as a mediator and standards authority.</w:t>
      </w:r>
    </w:p>
    <w:p w14:paraId="448C1469" w14:textId="77777777" w:rsidR="00042099" w:rsidRDefault="00042099" w:rsidP="00042099">
      <w:pPr>
        <w:numPr>
          <w:ilvl w:val="0"/>
          <w:numId w:val="13"/>
        </w:numPr>
        <w:spacing w:before="100" w:beforeAutospacing="1" w:after="100" w:afterAutospacing="1" w:line="240" w:lineRule="auto"/>
        <w:rPr>
          <w:rFonts w:eastAsia="Times New Roman"/>
        </w:rPr>
      </w:pPr>
      <w:r>
        <w:rPr>
          <w:rFonts w:eastAsia="Times New Roman"/>
        </w:rPr>
        <w:t>It accepts overflow scope only when strain and risk are elevated.</w:t>
      </w:r>
    </w:p>
    <w:p w14:paraId="4CF7D650" w14:textId="77777777" w:rsidR="00042099" w:rsidRDefault="00042099">
      <w:pPr>
        <w:pStyle w:val="NormalWeb"/>
      </w:pPr>
      <w:r>
        <w:t>This makes the model adoptable because it does not require carriers to dismantle their ecosystem. It requires them to add a missing layer of workforce and accountability infrastructure.</w:t>
      </w:r>
    </w:p>
    <w:p w14:paraId="5AE5908E" w14:textId="77777777" w:rsidR="00042099" w:rsidRDefault="00042099">
      <w:pPr>
        <w:rPr>
          <w:rFonts w:eastAsia="Times New Roman"/>
        </w:rPr>
      </w:pPr>
      <w:r>
        <w:rPr>
          <w:rFonts w:eastAsia="Times New Roman"/>
          <w:noProof/>
        </w:rPr>
        <mc:AlternateContent>
          <mc:Choice Requires="wps">
            <w:drawing>
              <wp:inline distT="0" distB="0" distL="0" distR="0" wp14:anchorId="53D929E9" wp14:editId="4D29B1BA">
                <wp:extent cx="5943600" cy="1270"/>
                <wp:effectExtent l="0" t="31750" r="0" b="36830"/>
                <wp:docPr id="17243799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8C8B2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3E77B17" w14:textId="77777777" w:rsidR="00042099" w:rsidRDefault="00042099">
      <w:pPr>
        <w:pStyle w:val="Heading2"/>
        <w:rPr>
          <w:rFonts w:eastAsia="Times New Roman"/>
        </w:rPr>
      </w:pPr>
      <w:r>
        <w:rPr>
          <w:rFonts w:eastAsia="Times New Roman"/>
        </w:rPr>
        <w:t>9. Public Interest: Why This Is Bigger Than Telecom</w:t>
      </w:r>
    </w:p>
    <w:p w14:paraId="526A0396" w14:textId="77777777" w:rsidR="00042099" w:rsidRDefault="00042099">
      <w:pPr>
        <w:pStyle w:val="NormalWeb"/>
      </w:pPr>
      <w:r>
        <w:t>Telecom infrastructure is now national infrastructure in the deepest sense. It is how:</w:t>
      </w:r>
    </w:p>
    <w:p w14:paraId="4818705A" w14:textId="77777777" w:rsidR="00042099" w:rsidRDefault="00042099" w:rsidP="00042099">
      <w:pPr>
        <w:numPr>
          <w:ilvl w:val="0"/>
          <w:numId w:val="14"/>
        </w:numPr>
        <w:spacing w:before="100" w:beforeAutospacing="1" w:after="100" w:afterAutospacing="1" w:line="240" w:lineRule="auto"/>
        <w:rPr>
          <w:rFonts w:eastAsia="Times New Roman"/>
        </w:rPr>
      </w:pPr>
      <w:r>
        <w:rPr>
          <w:rFonts w:eastAsia="Times New Roman"/>
        </w:rPr>
        <w:t>emergency services coordinate,</w:t>
      </w:r>
    </w:p>
    <w:p w14:paraId="6C9B04E2" w14:textId="77777777" w:rsidR="00042099" w:rsidRDefault="00042099" w:rsidP="00042099">
      <w:pPr>
        <w:numPr>
          <w:ilvl w:val="0"/>
          <w:numId w:val="14"/>
        </w:numPr>
        <w:spacing w:before="100" w:beforeAutospacing="1" w:after="100" w:afterAutospacing="1" w:line="240" w:lineRule="auto"/>
        <w:rPr>
          <w:rFonts w:eastAsia="Times New Roman"/>
        </w:rPr>
      </w:pPr>
      <w:r>
        <w:rPr>
          <w:rFonts w:eastAsia="Times New Roman"/>
        </w:rPr>
        <w:t>businesses transact,</w:t>
      </w:r>
    </w:p>
    <w:p w14:paraId="12174A4A" w14:textId="77777777" w:rsidR="00042099" w:rsidRDefault="00042099" w:rsidP="00042099">
      <w:pPr>
        <w:numPr>
          <w:ilvl w:val="0"/>
          <w:numId w:val="14"/>
        </w:numPr>
        <w:spacing w:before="100" w:beforeAutospacing="1" w:after="100" w:afterAutospacing="1" w:line="240" w:lineRule="auto"/>
        <w:rPr>
          <w:rFonts w:eastAsia="Times New Roman"/>
        </w:rPr>
      </w:pPr>
      <w:r>
        <w:rPr>
          <w:rFonts w:eastAsia="Times New Roman"/>
        </w:rPr>
        <w:t>students learn,</w:t>
      </w:r>
    </w:p>
    <w:p w14:paraId="2289B9D9" w14:textId="77777777" w:rsidR="00042099" w:rsidRDefault="00042099" w:rsidP="00042099">
      <w:pPr>
        <w:numPr>
          <w:ilvl w:val="0"/>
          <w:numId w:val="14"/>
        </w:numPr>
        <w:spacing w:before="100" w:beforeAutospacing="1" w:after="100" w:afterAutospacing="1" w:line="240" w:lineRule="auto"/>
        <w:rPr>
          <w:rFonts w:eastAsia="Times New Roman"/>
        </w:rPr>
      </w:pPr>
      <w:r>
        <w:rPr>
          <w:rFonts w:eastAsia="Times New Roman"/>
        </w:rPr>
        <w:t>hospitals operate,</w:t>
      </w:r>
    </w:p>
    <w:p w14:paraId="18AB7FD1" w14:textId="77777777" w:rsidR="00042099" w:rsidRDefault="00042099" w:rsidP="00042099">
      <w:pPr>
        <w:numPr>
          <w:ilvl w:val="0"/>
          <w:numId w:val="14"/>
        </w:numPr>
        <w:spacing w:before="100" w:beforeAutospacing="1" w:after="100" w:afterAutospacing="1" w:line="240" w:lineRule="auto"/>
        <w:rPr>
          <w:rFonts w:eastAsia="Times New Roman"/>
        </w:rPr>
      </w:pPr>
      <w:r>
        <w:rPr>
          <w:rFonts w:eastAsia="Times New Roman"/>
        </w:rPr>
        <w:t>communities maintain continuity during crises.</w:t>
      </w:r>
    </w:p>
    <w:p w14:paraId="0653416E" w14:textId="77777777" w:rsidR="00042099" w:rsidRDefault="00042099">
      <w:pPr>
        <w:pStyle w:val="NormalWeb"/>
      </w:pPr>
      <w:r>
        <w:t>If the labor system that builds and maintains this backbone is exploitative and unaccountable, the nation inherits systemic vulnerability.</w:t>
      </w:r>
    </w:p>
    <w:p w14:paraId="4301DDE5" w14:textId="77777777" w:rsidR="00042099" w:rsidRDefault="00042099">
      <w:pPr>
        <w:pStyle w:val="NormalWeb"/>
      </w:pPr>
      <w:r>
        <w:t>This is why ATG is not a “trade idea.”</w:t>
      </w:r>
      <w:r>
        <w:br/>
        <w:t xml:space="preserve">It is an </w:t>
      </w:r>
      <w:r>
        <w:rPr>
          <w:rStyle w:val="Strong"/>
        </w:rPr>
        <w:t>infrastructure integrity correction</w:t>
      </w:r>
      <w:r>
        <w:t>.</w:t>
      </w:r>
    </w:p>
    <w:p w14:paraId="39AA783A" w14:textId="77777777" w:rsidR="00042099" w:rsidRDefault="00042099">
      <w:pPr>
        <w:rPr>
          <w:rFonts w:eastAsia="Times New Roman"/>
        </w:rPr>
      </w:pPr>
      <w:r>
        <w:rPr>
          <w:rFonts w:eastAsia="Times New Roman"/>
          <w:noProof/>
        </w:rPr>
        <mc:AlternateContent>
          <mc:Choice Requires="wps">
            <w:drawing>
              <wp:inline distT="0" distB="0" distL="0" distR="0" wp14:anchorId="5393FD7E" wp14:editId="6F70AB34">
                <wp:extent cx="5943600" cy="1270"/>
                <wp:effectExtent l="0" t="31750" r="0" b="36830"/>
                <wp:docPr id="12260797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BB960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5BD32156" w14:textId="77777777" w:rsidR="00042099" w:rsidRDefault="00042099">
      <w:pPr>
        <w:pStyle w:val="Heading2"/>
        <w:rPr>
          <w:rFonts w:eastAsia="Times New Roman"/>
        </w:rPr>
      </w:pPr>
      <w:r>
        <w:rPr>
          <w:rFonts w:eastAsia="Times New Roman"/>
        </w:rPr>
        <w:t>10. What We Are Asking Stakeholders to Do</w:t>
      </w:r>
    </w:p>
    <w:p w14:paraId="4DB2B908" w14:textId="77777777" w:rsidR="00042099" w:rsidRDefault="00042099">
      <w:pPr>
        <w:pStyle w:val="NormalWeb"/>
      </w:pPr>
      <w:r>
        <w:t>This whitepaper is not a complaint. It is a call to responsible action.</w:t>
      </w:r>
    </w:p>
    <w:p w14:paraId="5C714B1C" w14:textId="77777777" w:rsidR="00042099" w:rsidRDefault="00042099">
      <w:pPr>
        <w:pStyle w:val="NormalWeb"/>
      </w:pPr>
      <w:r>
        <w:t>We ask:</w:t>
      </w:r>
    </w:p>
    <w:p w14:paraId="015B5DE6" w14:textId="77777777" w:rsidR="00042099" w:rsidRDefault="00042099" w:rsidP="00042099">
      <w:pPr>
        <w:numPr>
          <w:ilvl w:val="0"/>
          <w:numId w:val="15"/>
        </w:numPr>
        <w:spacing w:before="100" w:beforeAutospacing="1" w:after="100" w:afterAutospacing="1" w:line="240" w:lineRule="auto"/>
        <w:rPr>
          <w:rFonts w:eastAsia="Times New Roman"/>
        </w:rPr>
      </w:pPr>
      <w:r>
        <w:rPr>
          <w:rStyle w:val="Strong"/>
          <w:rFonts w:eastAsia="Times New Roman"/>
        </w:rPr>
        <w:lastRenderedPageBreak/>
        <w:t>Policymakers and agencies</w:t>
      </w:r>
      <w:r>
        <w:rPr>
          <w:rFonts w:eastAsia="Times New Roman"/>
        </w:rPr>
        <w:t xml:space="preserve"> to tie public funding to credentialed labor and contracting transparency.</w:t>
      </w:r>
    </w:p>
    <w:p w14:paraId="292DE32C" w14:textId="77777777" w:rsidR="00042099" w:rsidRDefault="00042099" w:rsidP="00042099">
      <w:pPr>
        <w:numPr>
          <w:ilvl w:val="0"/>
          <w:numId w:val="15"/>
        </w:numPr>
        <w:spacing w:before="100" w:beforeAutospacing="1" w:after="100" w:afterAutospacing="1" w:line="240" w:lineRule="auto"/>
        <w:rPr>
          <w:rFonts w:eastAsia="Times New Roman"/>
        </w:rPr>
      </w:pPr>
      <w:r>
        <w:rPr>
          <w:rStyle w:val="Strong"/>
          <w:rFonts w:eastAsia="Times New Roman"/>
        </w:rPr>
        <w:t>Carriers</w:t>
      </w:r>
      <w:r>
        <w:rPr>
          <w:rFonts w:eastAsia="Times New Roman"/>
        </w:rPr>
        <w:t xml:space="preserve"> to reduce accountability dilution and adopt verifiable workforce standards.</w:t>
      </w:r>
    </w:p>
    <w:p w14:paraId="6070E5AD" w14:textId="77777777" w:rsidR="00042099" w:rsidRDefault="00042099" w:rsidP="00042099">
      <w:pPr>
        <w:numPr>
          <w:ilvl w:val="0"/>
          <w:numId w:val="15"/>
        </w:numPr>
        <w:spacing w:before="100" w:beforeAutospacing="1" w:after="100" w:afterAutospacing="1" w:line="240" w:lineRule="auto"/>
        <w:rPr>
          <w:rFonts w:eastAsia="Times New Roman"/>
        </w:rPr>
      </w:pPr>
      <w:r>
        <w:rPr>
          <w:rStyle w:val="Strong"/>
          <w:rFonts w:eastAsia="Times New Roman"/>
        </w:rPr>
        <w:t>GCs and contractors</w:t>
      </w:r>
      <w:r>
        <w:rPr>
          <w:rFonts w:eastAsia="Times New Roman"/>
        </w:rPr>
        <w:t xml:space="preserve"> to support a system that rewards competence rather than margin games.</w:t>
      </w:r>
    </w:p>
    <w:p w14:paraId="66280941" w14:textId="77777777" w:rsidR="00042099" w:rsidRDefault="00042099" w:rsidP="00042099">
      <w:pPr>
        <w:numPr>
          <w:ilvl w:val="0"/>
          <w:numId w:val="15"/>
        </w:numPr>
        <w:spacing w:before="100" w:beforeAutospacing="1" w:after="100" w:afterAutospacing="1" w:line="240" w:lineRule="auto"/>
        <w:rPr>
          <w:rFonts w:eastAsia="Times New Roman"/>
        </w:rPr>
      </w:pPr>
      <w:r>
        <w:rPr>
          <w:rStyle w:val="Strong"/>
          <w:rFonts w:eastAsia="Times New Roman"/>
        </w:rPr>
        <w:t>Workers</w:t>
      </w:r>
      <w:r>
        <w:rPr>
          <w:rFonts w:eastAsia="Times New Roman"/>
        </w:rPr>
        <w:t xml:space="preserve"> to demand safety, credential integrity, and enforceable standards without needing to become activists to be heard.</w:t>
      </w:r>
    </w:p>
    <w:p w14:paraId="28F7FE52" w14:textId="77777777" w:rsidR="00042099" w:rsidRDefault="00042099">
      <w:pPr>
        <w:spacing w:after="0"/>
        <w:rPr>
          <w:rFonts w:eastAsia="Times New Roman"/>
        </w:rPr>
      </w:pPr>
      <w:r>
        <w:rPr>
          <w:rFonts w:eastAsia="Times New Roman"/>
          <w:noProof/>
        </w:rPr>
        <mc:AlternateContent>
          <mc:Choice Requires="wps">
            <w:drawing>
              <wp:inline distT="0" distB="0" distL="0" distR="0" wp14:anchorId="5064E153" wp14:editId="49251B85">
                <wp:extent cx="5943600" cy="1270"/>
                <wp:effectExtent l="0" t="31750" r="0" b="36830"/>
                <wp:docPr id="21186591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627C5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4CE4655B" w14:textId="77777777" w:rsidR="00042099" w:rsidRDefault="00042099">
      <w:pPr>
        <w:pStyle w:val="Heading2"/>
        <w:rPr>
          <w:rFonts w:eastAsia="Times New Roman"/>
        </w:rPr>
      </w:pPr>
      <w:r>
        <w:rPr>
          <w:rFonts w:eastAsia="Times New Roman"/>
        </w:rPr>
        <w:t>11. Closing Statement</w:t>
      </w:r>
    </w:p>
    <w:p w14:paraId="71113E87" w14:textId="77777777" w:rsidR="00042099" w:rsidRDefault="00042099">
      <w:pPr>
        <w:pStyle w:val="NormalWeb"/>
      </w:pPr>
      <w:r>
        <w:t>The telecom workforce does not need to be romanticized. It needs to be respected structurally.</w:t>
      </w:r>
    </w:p>
    <w:p w14:paraId="3D98C584" w14:textId="77777777" w:rsidR="00042099" w:rsidRDefault="00042099">
      <w:pPr>
        <w:pStyle w:val="NormalWeb"/>
      </w:pPr>
      <w:r>
        <w:t>A system that depends on high-skill, high-risk labor cannot be built on low-visibility contracting and disposable workforce assumptions.</w:t>
      </w:r>
    </w:p>
    <w:p w14:paraId="28DE3830" w14:textId="77777777" w:rsidR="00042099" w:rsidRDefault="00042099">
      <w:pPr>
        <w:pStyle w:val="NormalWeb"/>
      </w:pPr>
      <w:r>
        <w:t>ATG is the proposal to rebuild the backbone with:</w:t>
      </w:r>
    </w:p>
    <w:p w14:paraId="701E5E1B" w14:textId="77777777" w:rsidR="00042099" w:rsidRDefault="00042099" w:rsidP="00042099">
      <w:pPr>
        <w:numPr>
          <w:ilvl w:val="0"/>
          <w:numId w:val="16"/>
        </w:numPr>
        <w:spacing w:before="100" w:beforeAutospacing="1" w:after="100" w:afterAutospacing="1" w:line="240" w:lineRule="auto"/>
        <w:rPr>
          <w:rFonts w:eastAsia="Times New Roman"/>
        </w:rPr>
      </w:pPr>
      <w:r>
        <w:rPr>
          <w:rFonts w:eastAsia="Times New Roman"/>
        </w:rPr>
        <w:t>verified competency,</w:t>
      </w:r>
    </w:p>
    <w:p w14:paraId="580D1563" w14:textId="77777777" w:rsidR="00042099" w:rsidRDefault="00042099" w:rsidP="00042099">
      <w:pPr>
        <w:numPr>
          <w:ilvl w:val="0"/>
          <w:numId w:val="16"/>
        </w:numPr>
        <w:spacing w:before="100" w:beforeAutospacing="1" w:after="100" w:afterAutospacing="1" w:line="240" w:lineRule="auto"/>
        <w:rPr>
          <w:rFonts w:eastAsia="Times New Roman"/>
        </w:rPr>
      </w:pPr>
      <w:r>
        <w:rPr>
          <w:rFonts w:eastAsia="Times New Roman"/>
        </w:rPr>
        <w:t>enforced safety,</w:t>
      </w:r>
    </w:p>
    <w:p w14:paraId="08FA603E" w14:textId="77777777" w:rsidR="00042099" w:rsidRDefault="00042099" w:rsidP="00042099">
      <w:pPr>
        <w:numPr>
          <w:ilvl w:val="0"/>
          <w:numId w:val="16"/>
        </w:numPr>
        <w:spacing w:before="100" w:beforeAutospacing="1" w:after="100" w:afterAutospacing="1" w:line="240" w:lineRule="auto"/>
        <w:rPr>
          <w:rFonts w:eastAsia="Times New Roman"/>
        </w:rPr>
      </w:pPr>
      <w:r>
        <w:rPr>
          <w:rFonts w:eastAsia="Times New Roman"/>
        </w:rPr>
        <w:t>auditable accountability,</w:t>
      </w:r>
    </w:p>
    <w:p w14:paraId="084AE5DF" w14:textId="77777777" w:rsidR="00042099" w:rsidRDefault="00042099" w:rsidP="00042099">
      <w:pPr>
        <w:numPr>
          <w:ilvl w:val="0"/>
          <w:numId w:val="16"/>
        </w:numPr>
        <w:spacing w:before="100" w:beforeAutospacing="1" w:after="100" w:afterAutospacing="1" w:line="240" w:lineRule="auto"/>
        <w:rPr>
          <w:rFonts w:eastAsia="Times New Roman"/>
        </w:rPr>
      </w:pPr>
      <w:r>
        <w:rPr>
          <w:rFonts w:eastAsia="Times New Roman"/>
        </w:rPr>
        <w:t>and a workforce development pipeline that does not exploit the very people required to make national infrastructure real.</w:t>
      </w:r>
    </w:p>
    <w:p w14:paraId="3C614A18" w14:textId="77777777" w:rsidR="00042099" w:rsidRDefault="00042099">
      <w:pPr>
        <w:pStyle w:val="NormalWeb"/>
      </w:pPr>
      <w:r>
        <w:rPr>
          <w:rStyle w:val="Strong"/>
        </w:rPr>
        <w:t>Raise the standard. Rebuild the backbone.</w:t>
      </w:r>
    </w:p>
    <w:p w14:paraId="7B644964" w14:textId="77777777" w:rsidR="00042099" w:rsidRDefault="00042099">
      <w:pPr>
        <w:rPr>
          <w:rFonts w:eastAsia="Times New Roman"/>
        </w:rPr>
      </w:pPr>
      <w:r>
        <w:rPr>
          <w:rFonts w:eastAsia="Times New Roman"/>
          <w:noProof/>
        </w:rPr>
        <mc:AlternateContent>
          <mc:Choice Requires="wps">
            <w:drawing>
              <wp:inline distT="0" distB="0" distL="0" distR="0" wp14:anchorId="2F9DAC83" wp14:editId="4EEFE658">
                <wp:extent cx="5943600" cy="1270"/>
                <wp:effectExtent l="0" t="31750" r="0" b="36830"/>
                <wp:docPr id="609484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D711FC"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516076E4" w14:textId="09F57827" w:rsidR="00042099" w:rsidRDefault="00042099">
      <w:pPr>
        <w:pStyle w:val="NormalWeb"/>
      </w:pPr>
    </w:p>
    <w:p w14:paraId="58E62420" w14:textId="77777777" w:rsidR="008D7ADB" w:rsidRDefault="008D7ADB"/>
    <w:sectPr w:rsidR="008D7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E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08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672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A3EE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D2A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A35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B74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30F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C0D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54E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960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F05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97A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A03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129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A5B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685646">
    <w:abstractNumId w:val="5"/>
  </w:num>
  <w:num w:numId="2" w16cid:durableId="87848011">
    <w:abstractNumId w:val="13"/>
  </w:num>
  <w:num w:numId="3" w16cid:durableId="1667324192">
    <w:abstractNumId w:val="8"/>
  </w:num>
  <w:num w:numId="4" w16cid:durableId="664092161">
    <w:abstractNumId w:val="12"/>
  </w:num>
  <w:num w:numId="5" w16cid:durableId="2064980634">
    <w:abstractNumId w:val="11"/>
  </w:num>
  <w:num w:numId="6" w16cid:durableId="1145321829">
    <w:abstractNumId w:val="7"/>
  </w:num>
  <w:num w:numId="7" w16cid:durableId="963384579">
    <w:abstractNumId w:val="6"/>
  </w:num>
  <w:num w:numId="8" w16cid:durableId="933242808">
    <w:abstractNumId w:val="9"/>
  </w:num>
  <w:num w:numId="9" w16cid:durableId="1714847532">
    <w:abstractNumId w:val="0"/>
  </w:num>
  <w:num w:numId="10" w16cid:durableId="1400785573">
    <w:abstractNumId w:val="1"/>
  </w:num>
  <w:num w:numId="11" w16cid:durableId="2007593414">
    <w:abstractNumId w:val="14"/>
  </w:num>
  <w:num w:numId="12" w16cid:durableId="983394077">
    <w:abstractNumId w:val="3"/>
  </w:num>
  <w:num w:numId="13" w16cid:durableId="446897939">
    <w:abstractNumId w:val="15"/>
  </w:num>
  <w:num w:numId="14" w16cid:durableId="395707455">
    <w:abstractNumId w:val="10"/>
  </w:num>
  <w:num w:numId="15" w16cid:durableId="904536503">
    <w:abstractNumId w:val="2"/>
  </w:num>
  <w:num w:numId="16" w16cid:durableId="1955211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DB"/>
    <w:rsid w:val="00042099"/>
    <w:rsid w:val="00453D6D"/>
    <w:rsid w:val="00467E01"/>
    <w:rsid w:val="008D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3B293"/>
  <w15:chartTrackingRefBased/>
  <w15:docId w15:val="{C0311AA1-168C-8244-A5DD-2BB261B5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ADB"/>
    <w:rPr>
      <w:rFonts w:eastAsiaTheme="majorEastAsia" w:cstheme="majorBidi"/>
      <w:color w:val="272727" w:themeColor="text1" w:themeTint="D8"/>
    </w:rPr>
  </w:style>
  <w:style w:type="paragraph" w:styleId="Title">
    <w:name w:val="Title"/>
    <w:basedOn w:val="Normal"/>
    <w:next w:val="Normal"/>
    <w:link w:val="TitleChar"/>
    <w:uiPriority w:val="10"/>
    <w:qFormat/>
    <w:rsid w:val="008D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ADB"/>
    <w:pPr>
      <w:spacing w:before="160"/>
      <w:jc w:val="center"/>
    </w:pPr>
    <w:rPr>
      <w:i/>
      <w:iCs/>
      <w:color w:val="404040" w:themeColor="text1" w:themeTint="BF"/>
    </w:rPr>
  </w:style>
  <w:style w:type="character" w:customStyle="1" w:styleId="QuoteChar">
    <w:name w:val="Quote Char"/>
    <w:basedOn w:val="DefaultParagraphFont"/>
    <w:link w:val="Quote"/>
    <w:uiPriority w:val="29"/>
    <w:rsid w:val="008D7ADB"/>
    <w:rPr>
      <w:i/>
      <w:iCs/>
      <w:color w:val="404040" w:themeColor="text1" w:themeTint="BF"/>
    </w:rPr>
  </w:style>
  <w:style w:type="paragraph" w:styleId="ListParagraph">
    <w:name w:val="List Paragraph"/>
    <w:basedOn w:val="Normal"/>
    <w:uiPriority w:val="34"/>
    <w:qFormat/>
    <w:rsid w:val="008D7ADB"/>
    <w:pPr>
      <w:ind w:left="720"/>
      <w:contextualSpacing/>
    </w:pPr>
  </w:style>
  <w:style w:type="character" w:styleId="IntenseEmphasis">
    <w:name w:val="Intense Emphasis"/>
    <w:basedOn w:val="DefaultParagraphFont"/>
    <w:uiPriority w:val="21"/>
    <w:qFormat/>
    <w:rsid w:val="008D7ADB"/>
    <w:rPr>
      <w:i/>
      <w:iCs/>
      <w:color w:val="0F4761" w:themeColor="accent1" w:themeShade="BF"/>
    </w:rPr>
  </w:style>
  <w:style w:type="paragraph" w:styleId="IntenseQuote">
    <w:name w:val="Intense Quote"/>
    <w:basedOn w:val="Normal"/>
    <w:next w:val="Normal"/>
    <w:link w:val="IntenseQuoteChar"/>
    <w:uiPriority w:val="30"/>
    <w:qFormat/>
    <w:rsid w:val="008D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ADB"/>
    <w:rPr>
      <w:i/>
      <w:iCs/>
      <w:color w:val="0F4761" w:themeColor="accent1" w:themeShade="BF"/>
    </w:rPr>
  </w:style>
  <w:style w:type="character" w:styleId="IntenseReference">
    <w:name w:val="Intense Reference"/>
    <w:basedOn w:val="DefaultParagraphFont"/>
    <w:uiPriority w:val="32"/>
    <w:qFormat/>
    <w:rsid w:val="008D7ADB"/>
    <w:rPr>
      <w:b/>
      <w:bCs/>
      <w:smallCaps/>
      <w:color w:val="0F4761" w:themeColor="accent1" w:themeShade="BF"/>
      <w:spacing w:val="5"/>
    </w:rPr>
  </w:style>
  <w:style w:type="character" w:styleId="Strong">
    <w:name w:val="Strong"/>
    <w:basedOn w:val="DefaultParagraphFont"/>
    <w:uiPriority w:val="22"/>
    <w:qFormat/>
    <w:rsid w:val="00042099"/>
    <w:rPr>
      <w:b/>
      <w:bCs/>
    </w:rPr>
  </w:style>
  <w:style w:type="paragraph" w:styleId="NormalWeb">
    <w:name w:val="Normal (Web)"/>
    <w:basedOn w:val="Normal"/>
    <w:uiPriority w:val="99"/>
    <w:semiHidden/>
    <w:unhideWhenUsed/>
    <w:rsid w:val="000420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0420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Brennen</dc:creator>
  <cp:keywords/>
  <dc:description/>
  <cp:lastModifiedBy>R Brennen</cp:lastModifiedBy>
  <cp:revision>3</cp:revision>
  <dcterms:created xsi:type="dcterms:W3CDTF">2026-01-31T03:59:00Z</dcterms:created>
  <dcterms:modified xsi:type="dcterms:W3CDTF">2026-01-31T04:00:00Z</dcterms:modified>
</cp:coreProperties>
</file>